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bookmarkStart w:id="24" w:name="_GoBack"/>
      <w:bookmarkEnd w:id="24"/>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autoSpaceDE w:val="0"/>
        <w:autoSpaceDN w:val="0"/>
        <w:spacing w:line="360" w:lineRule="auto"/>
        <w:jc w:val="center"/>
        <w:rPr>
          <w:rFonts w:hint="eastAsia" w:ascii="黑体" w:hAnsi="黑体" w:eastAsia="黑体"/>
          <w:b/>
          <w:bCs/>
          <w:sz w:val="48"/>
          <w:szCs w:val="48"/>
        </w:rPr>
      </w:pPr>
      <w:r>
        <w:rPr>
          <w:rFonts w:hint="eastAsia" w:ascii="黑体" w:hAnsi="黑体" w:eastAsia="黑体"/>
          <w:b/>
          <w:bCs/>
          <w:sz w:val="48"/>
          <w:szCs w:val="48"/>
        </w:rPr>
        <w:t>南南铝业股份有限公司</w:t>
      </w:r>
    </w:p>
    <w:p>
      <w:pPr>
        <w:autoSpaceDE w:val="0"/>
        <w:autoSpaceDN w:val="0"/>
        <w:spacing w:line="360" w:lineRule="auto"/>
        <w:jc w:val="center"/>
        <w:rPr>
          <w:rFonts w:hint="eastAsia" w:ascii="黑体" w:hAnsi="黑体" w:eastAsia="黑体"/>
          <w:b/>
          <w:bCs/>
          <w:sz w:val="48"/>
          <w:szCs w:val="48"/>
        </w:rPr>
      </w:pPr>
      <w:r>
        <w:rPr>
          <w:rFonts w:hint="eastAsia" w:ascii="黑体" w:hAnsi="黑体" w:eastAsia="黑体"/>
          <w:b/>
          <w:bCs/>
          <w:sz w:val="48"/>
          <w:szCs w:val="48"/>
        </w:rPr>
        <w:t>2023年度办公设备采购战略合作</w:t>
      </w:r>
    </w:p>
    <w:p>
      <w:pPr>
        <w:autoSpaceDE w:val="0"/>
        <w:autoSpaceDN w:val="0"/>
        <w:spacing w:line="360" w:lineRule="auto"/>
        <w:jc w:val="center"/>
        <w:rPr>
          <w:rFonts w:hint="eastAsia" w:ascii="黑体" w:hAnsi="黑体" w:eastAsia="黑体"/>
          <w:b/>
          <w:bCs/>
          <w:sz w:val="48"/>
          <w:szCs w:val="48"/>
        </w:rPr>
      </w:pPr>
      <w:r>
        <w:rPr>
          <w:rFonts w:hint="eastAsia" w:ascii="黑体" w:hAnsi="黑体" w:eastAsia="黑体"/>
          <w:b/>
          <w:bCs/>
          <w:sz w:val="48"/>
          <w:szCs w:val="48"/>
        </w:rPr>
        <w:t>招标文件</w:t>
      </w:r>
    </w:p>
    <w:p>
      <w:pPr>
        <w:autoSpaceDE w:val="0"/>
        <w:autoSpaceDN w:val="0"/>
        <w:spacing w:line="520" w:lineRule="exact"/>
        <w:jc w:val="center"/>
        <w:rPr>
          <w:rFonts w:hint="eastAsia" w:ascii="黑体" w:hAnsi="黑体" w:eastAsia="黑体"/>
          <w:b/>
          <w:bCs/>
          <w:sz w:val="48"/>
          <w:szCs w:val="48"/>
        </w:rPr>
      </w:pPr>
    </w:p>
    <w:p>
      <w:pPr>
        <w:autoSpaceDE w:val="0"/>
        <w:autoSpaceDN w:val="0"/>
        <w:spacing w:line="520" w:lineRule="exact"/>
        <w:jc w:val="center"/>
        <w:rPr>
          <w:rFonts w:hint="eastAsia" w:ascii="黑体" w:hAnsi="黑体" w:eastAsia="黑体"/>
          <w:b/>
          <w:bCs/>
          <w:sz w:val="48"/>
          <w:szCs w:val="48"/>
        </w:rPr>
      </w:pPr>
    </w:p>
    <w:p>
      <w:pPr>
        <w:autoSpaceDE w:val="0"/>
        <w:autoSpaceDN w:val="0"/>
        <w:spacing w:line="520" w:lineRule="exact"/>
        <w:jc w:val="center"/>
        <w:rPr>
          <w:rFonts w:hint="eastAsia" w:ascii="黑体" w:hAnsi="黑体" w:eastAsia="黑体"/>
          <w:b/>
          <w:bCs/>
          <w:sz w:val="48"/>
          <w:szCs w:val="48"/>
        </w:rPr>
      </w:pPr>
    </w:p>
    <w:p>
      <w:pPr>
        <w:autoSpaceDE w:val="0"/>
        <w:autoSpaceDN w:val="0"/>
        <w:spacing w:line="360" w:lineRule="auto"/>
        <w:jc w:val="center"/>
        <w:rPr>
          <w:rFonts w:hint="eastAsia" w:ascii="黑体" w:hAnsi="黑体" w:eastAsia="黑体"/>
          <w:b/>
          <w:bCs/>
          <w:sz w:val="30"/>
          <w:szCs w:val="30"/>
        </w:rPr>
      </w:pPr>
    </w:p>
    <w:p>
      <w:pPr>
        <w:autoSpaceDE w:val="0"/>
        <w:autoSpaceDN w:val="0"/>
        <w:spacing w:line="360" w:lineRule="auto"/>
        <w:ind w:firstLine="2397" w:firstLineChars="796"/>
        <w:rPr>
          <w:rFonts w:hint="eastAsia" w:ascii="黑体" w:hAnsi="黑体" w:eastAsia="黑体"/>
          <w:b/>
          <w:bCs/>
          <w:sz w:val="30"/>
          <w:szCs w:val="30"/>
          <w:u w:val="single"/>
        </w:rPr>
      </w:pPr>
      <w:r>
        <w:rPr>
          <w:rFonts w:hint="eastAsia" w:ascii="黑体" w:hAnsi="黑体" w:eastAsia="黑体"/>
          <w:b/>
          <w:bCs/>
          <w:sz w:val="30"/>
          <w:szCs w:val="30"/>
        </w:rPr>
        <w:t>项目名称：</w:t>
      </w:r>
      <w:r>
        <w:rPr>
          <w:rFonts w:hint="eastAsia" w:ascii="黑体" w:hAnsi="黑体" w:eastAsia="黑体"/>
          <w:b/>
          <w:bCs/>
          <w:sz w:val="30"/>
          <w:szCs w:val="30"/>
          <w:u w:val="single"/>
        </w:rPr>
        <w:t>办公设备采购战略合作</w:t>
      </w:r>
    </w:p>
    <w:p>
      <w:pPr>
        <w:autoSpaceDE w:val="0"/>
        <w:autoSpaceDN w:val="0"/>
        <w:spacing w:line="360" w:lineRule="auto"/>
        <w:ind w:firstLine="2397" w:firstLineChars="796"/>
        <w:rPr>
          <w:rFonts w:ascii="黑体" w:hAnsi="黑体" w:eastAsia="黑体"/>
          <w:b/>
          <w:bCs/>
          <w:sz w:val="30"/>
          <w:szCs w:val="30"/>
          <w:u w:val="single"/>
        </w:rPr>
      </w:pPr>
      <w:r>
        <w:rPr>
          <w:rFonts w:hint="eastAsia" w:ascii="黑体" w:hAnsi="黑体" w:eastAsia="黑体"/>
          <w:b/>
          <w:bCs/>
          <w:sz w:val="30"/>
          <w:szCs w:val="30"/>
        </w:rPr>
        <w:t>项目编号：</w:t>
      </w:r>
      <w:r>
        <w:rPr>
          <w:rFonts w:ascii="黑体" w:hAnsi="黑体" w:eastAsia="黑体"/>
          <w:b/>
          <w:bCs/>
          <w:sz w:val="30"/>
          <w:szCs w:val="30"/>
          <w:u w:val="single"/>
        </w:rPr>
        <w:t>NN-</w:t>
      </w:r>
      <w:r>
        <w:rPr>
          <w:rFonts w:hint="eastAsia" w:ascii="黑体" w:hAnsi="黑体" w:eastAsia="黑体"/>
          <w:b/>
          <w:bCs/>
          <w:sz w:val="30"/>
          <w:szCs w:val="30"/>
          <w:u w:val="single"/>
        </w:rPr>
        <w:t xml:space="preserve">IT2023021501      </w:t>
      </w:r>
    </w:p>
    <w:p>
      <w:pPr>
        <w:autoSpaceDE w:val="0"/>
        <w:autoSpaceDN w:val="0"/>
        <w:spacing w:line="360" w:lineRule="auto"/>
        <w:ind w:firstLine="2397" w:firstLineChars="796"/>
        <w:rPr>
          <w:rFonts w:hint="eastAsia" w:ascii="黑体" w:hAnsi="黑体" w:eastAsia="黑体"/>
          <w:b/>
          <w:bCs/>
          <w:sz w:val="30"/>
          <w:szCs w:val="30"/>
        </w:rPr>
      </w:pPr>
      <w:r>
        <w:rPr>
          <w:rFonts w:hint="eastAsia" w:ascii="黑体" w:hAnsi="黑体" w:eastAsia="黑体"/>
          <w:b/>
          <w:bCs/>
          <w:sz w:val="30"/>
          <w:szCs w:val="30"/>
        </w:rPr>
        <w:t>发标日期：</w:t>
      </w:r>
      <w:r>
        <w:rPr>
          <w:rFonts w:hint="eastAsia" w:ascii="黑体" w:hAnsi="黑体" w:eastAsia="黑体"/>
          <w:b/>
          <w:bCs/>
          <w:sz w:val="30"/>
          <w:szCs w:val="30"/>
          <w:u w:val="single"/>
        </w:rPr>
        <w:t xml:space="preserve">2023年 2月 </w:t>
      </w:r>
      <w:r>
        <w:rPr>
          <w:rFonts w:hint="eastAsia" w:ascii="黑体" w:hAnsi="黑体" w:eastAsia="黑体"/>
          <w:b/>
          <w:bCs/>
          <w:sz w:val="30"/>
          <w:szCs w:val="30"/>
          <w:u w:val="single"/>
          <w:lang w:val="en-US" w:eastAsia="zh-CN"/>
        </w:rPr>
        <w:t>2</w:t>
      </w:r>
      <w:r>
        <w:rPr>
          <w:rFonts w:hint="eastAsia" w:ascii="黑体" w:hAnsi="黑体" w:eastAsia="黑体"/>
          <w:b/>
          <w:bCs/>
          <w:sz w:val="30"/>
          <w:szCs w:val="30"/>
          <w:u w:val="single"/>
          <w:lang w:val="en-US" w:eastAsia="zh-CN"/>
        </w:rPr>
        <w:t>2</w:t>
      </w:r>
      <w:r>
        <w:rPr>
          <w:rFonts w:hint="eastAsia" w:ascii="黑体" w:hAnsi="黑体" w:eastAsia="黑体"/>
          <w:b/>
          <w:bCs/>
          <w:sz w:val="30"/>
          <w:szCs w:val="30"/>
          <w:u w:val="single"/>
        </w:rPr>
        <w:t>日</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14"/>
        <w:tabs>
          <w:tab w:val="right" w:leader="dot" w:pos="9070"/>
        </w:tabs>
        <w:jc w:val="center"/>
        <w:rPr>
          <w:rFonts w:hint="eastAsia"/>
        </w:rPr>
      </w:pPr>
      <w:r>
        <w:rPr>
          <w:rFonts w:ascii="黑体" w:eastAsia="黑体"/>
          <w:b/>
          <w:sz w:val="32"/>
          <w:szCs w:val="32"/>
        </w:rPr>
        <w:br w:type="page"/>
      </w:r>
      <w:r>
        <w:rPr>
          <w:rFonts w:hint="eastAsia" w:ascii="黑体" w:eastAsia="黑体"/>
          <w:b/>
          <w:sz w:val="32"/>
          <w:szCs w:val="32"/>
        </w:rPr>
        <w:t>目 录</w:t>
      </w:r>
    </w:p>
    <w:p>
      <w:pPr>
        <w:pStyle w:val="14"/>
        <w:tabs>
          <w:tab w:val="right" w:leader="dot" w:pos="9070"/>
        </w:tabs>
      </w:pPr>
      <w:r>
        <w:rPr>
          <w:rFonts w:hint="eastAsia" w:ascii="仿宋" w:hAnsi="仿宋" w:eastAsia="仿宋"/>
          <w:b/>
          <w:sz w:val="28"/>
          <w:szCs w:val="28"/>
        </w:rPr>
        <w:fldChar w:fldCharType="begin"/>
      </w:r>
      <w:r>
        <w:rPr>
          <w:rFonts w:hint="eastAsia" w:ascii="仿宋" w:hAnsi="仿宋" w:eastAsia="仿宋"/>
          <w:b/>
          <w:sz w:val="28"/>
          <w:szCs w:val="28"/>
        </w:rPr>
        <w:instrText xml:space="preserve">TOC \o "1-1" \h \u </w:instrText>
      </w:r>
      <w:r>
        <w:rPr>
          <w:rFonts w:hint="eastAsia" w:ascii="仿宋" w:hAnsi="仿宋" w:eastAsia="仿宋"/>
          <w:b/>
          <w:sz w:val="28"/>
          <w:szCs w:val="28"/>
        </w:rPr>
        <w:fldChar w:fldCharType="separate"/>
      </w:r>
      <w:r>
        <w:rPr>
          <w:rFonts w:hint="eastAsia" w:ascii="仿宋" w:hAnsi="仿宋" w:eastAsia="仿宋"/>
          <w:szCs w:val="28"/>
        </w:rPr>
        <w:fldChar w:fldCharType="begin"/>
      </w:r>
      <w:r>
        <w:rPr>
          <w:rFonts w:hint="eastAsia" w:ascii="仿宋" w:hAnsi="仿宋" w:eastAsia="仿宋"/>
          <w:szCs w:val="28"/>
        </w:rPr>
        <w:instrText xml:space="preserve"> HYPERLINK \l _Toc4187 </w:instrText>
      </w:r>
      <w:r>
        <w:rPr>
          <w:rFonts w:hint="eastAsia" w:ascii="仿宋" w:hAnsi="仿宋" w:eastAsia="仿宋"/>
          <w:szCs w:val="28"/>
        </w:rPr>
        <w:fldChar w:fldCharType="separate"/>
      </w:r>
      <w:r>
        <w:rPr>
          <w:rFonts w:hint="eastAsia"/>
        </w:rPr>
        <w:t>第一部分 招标邀请</w:t>
      </w:r>
      <w:r>
        <w:tab/>
      </w:r>
      <w:r>
        <w:fldChar w:fldCharType="begin"/>
      </w:r>
      <w:r>
        <w:instrText xml:space="preserve"> PAGEREF _Toc4187 \h </w:instrText>
      </w:r>
      <w:r>
        <w:fldChar w:fldCharType="separate"/>
      </w:r>
      <w:r>
        <w:t>3</w:t>
      </w:r>
      <w:r>
        <w:fldChar w:fldCharType="end"/>
      </w:r>
      <w:r>
        <w:rPr>
          <w:rFonts w:hint="eastAsia" w:ascii="仿宋" w:hAnsi="仿宋" w:eastAsia="仿宋"/>
          <w:szCs w:val="28"/>
        </w:rPr>
        <w:fldChar w:fldCharType="end"/>
      </w:r>
    </w:p>
    <w:p>
      <w:pPr>
        <w:pStyle w:val="14"/>
        <w:tabs>
          <w:tab w:val="right" w:leader="dot" w:pos="9070"/>
        </w:tabs>
      </w:pPr>
      <w:r>
        <w:rPr>
          <w:rFonts w:hint="eastAsia" w:ascii="仿宋" w:hAnsi="仿宋" w:eastAsia="仿宋"/>
          <w:szCs w:val="28"/>
        </w:rPr>
        <w:fldChar w:fldCharType="begin"/>
      </w:r>
      <w:r>
        <w:rPr>
          <w:rFonts w:hint="eastAsia" w:ascii="仿宋" w:hAnsi="仿宋" w:eastAsia="仿宋"/>
          <w:szCs w:val="28"/>
        </w:rPr>
        <w:instrText xml:space="preserve"> HYPERLINK \l _Toc27329 </w:instrText>
      </w:r>
      <w:r>
        <w:rPr>
          <w:rFonts w:hint="eastAsia" w:ascii="仿宋" w:hAnsi="仿宋" w:eastAsia="仿宋"/>
          <w:szCs w:val="28"/>
        </w:rPr>
        <w:fldChar w:fldCharType="separate"/>
      </w:r>
      <w:r>
        <w:rPr>
          <w:rFonts w:hint="eastAsia"/>
        </w:rPr>
        <w:t>第二部分 投标人须知</w:t>
      </w:r>
      <w:r>
        <w:tab/>
      </w:r>
      <w:r>
        <w:fldChar w:fldCharType="begin"/>
      </w:r>
      <w:r>
        <w:instrText xml:space="preserve"> PAGEREF _Toc27329 \h </w:instrText>
      </w:r>
      <w:r>
        <w:fldChar w:fldCharType="separate"/>
      </w:r>
      <w:r>
        <w:t>4</w:t>
      </w:r>
      <w:r>
        <w:fldChar w:fldCharType="end"/>
      </w:r>
      <w:r>
        <w:rPr>
          <w:rFonts w:hint="eastAsia" w:ascii="仿宋" w:hAnsi="仿宋" w:eastAsia="仿宋"/>
          <w:szCs w:val="28"/>
        </w:rPr>
        <w:fldChar w:fldCharType="end"/>
      </w:r>
    </w:p>
    <w:p>
      <w:pPr>
        <w:pStyle w:val="14"/>
        <w:tabs>
          <w:tab w:val="right" w:leader="dot" w:pos="9070"/>
        </w:tabs>
      </w:pPr>
      <w:r>
        <w:rPr>
          <w:rFonts w:hint="eastAsia" w:ascii="仿宋" w:hAnsi="仿宋" w:eastAsia="仿宋"/>
          <w:szCs w:val="28"/>
        </w:rPr>
        <w:fldChar w:fldCharType="begin"/>
      </w:r>
      <w:r>
        <w:rPr>
          <w:rFonts w:hint="eastAsia" w:ascii="仿宋" w:hAnsi="仿宋" w:eastAsia="仿宋"/>
          <w:szCs w:val="28"/>
        </w:rPr>
        <w:instrText xml:space="preserve"> HYPERLINK \l _Toc23231 </w:instrText>
      </w:r>
      <w:r>
        <w:rPr>
          <w:rFonts w:hint="eastAsia" w:ascii="仿宋" w:hAnsi="仿宋" w:eastAsia="仿宋"/>
          <w:szCs w:val="28"/>
        </w:rPr>
        <w:fldChar w:fldCharType="separate"/>
      </w:r>
      <w:r>
        <w:rPr>
          <w:rFonts w:hint="eastAsia"/>
        </w:rPr>
        <w:t>第三部分 开标及评标</w:t>
      </w:r>
      <w:r>
        <w:tab/>
      </w:r>
      <w:r>
        <w:fldChar w:fldCharType="begin"/>
      </w:r>
      <w:r>
        <w:instrText xml:space="preserve"> PAGEREF _Toc23231 \h </w:instrText>
      </w:r>
      <w:r>
        <w:fldChar w:fldCharType="separate"/>
      </w:r>
      <w:r>
        <w:t>8</w:t>
      </w:r>
      <w:r>
        <w:fldChar w:fldCharType="end"/>
      </w:r>
      <w:r>
        <w:rPr>
          <w:rFonts w:hint="eastAsia" w:ascii="仿宋" w:hAnsi="仿宋" w:eastAsia="仿宋"/>
          <w:szCs w:val="28"/>
        </w:rPr>
        <w:fldChar w:fldCharType="end"/>
      </w:r>
    </w:p>
    <w:p>
      <w:pPr>
        <w:pStyle w:val="14"/>
        <w:tabs>
          <w:tab w:val="right" w:leader="dot" w:pos="9070"/>
        </w:tabs>
      </w:pPr>
      <w:r>
        <w:rPr>
          <w:rFonts w:hint="eastAsia" w:ascii="仿宋" w:hAnsi="仿宋" w:eastAsia="仿宋"/>
          <w:szCs w:val="28"/>
        </w:rPr>
        <w:fldChar w:fldCharType="begin"/>
      </w:r>
      <w:r>
        <w:rPr>
          <w:rFonts w:hint="eastAsia" w:ascii="仿宋" w:hAnsi="仿宋" w:eastAsia="仿宋"/>
          <w:szCs w:val="28"/>
        </w:rPr>
        <w:instrText xml:space="preserve"> HYPERLINK \l _Toc31139 </w:instrText>
      </w:r>
      <w:r>
        <w:rPr>
          <w:rFonts w:hint="eastAsia" w:ascii="仿宋" w:hAnsi="仿宋" w:eastAsia="仿宋"/>
          <w:szCs w:val="28"/>
        </w:rPr>
        <w:fldChar w:fldCharType="separate"/>
      </w:r>
      <w:r>
        <w:rPr>
          <w:rFonts w:hint="eastAsia"/>
        </w:rPr>
        <w:t>第四部分 授予合同</w:t>
      </w:r>
      <w:r>
        <w:tab/>
      </w:r>
      <w:r>
        <w:fldChar w:fldCharType="begin"/>
      </w:r>
      <w:r>
        <w:instrText xml:space="preserve"> PAGEREF _Toc31139 \h </w:instrText>
      </w:r>
      <w:r>
        <w:fldChar w:fldCharType="separate"/>
      </w:r>
      <w:r>
        <w:t>11</w:t>
      </w:r>
      <w:r>
        <w:fldChar w:fldCharType="end"/>
      </w:r>
      <w:r>
        <w:rPr>
          <w:rFonts w:hint="eastAsia" w:ascii="仿宋" w:hAnsi="仿宋" w:eastAsia="仿宋"/>
          <w:szCs w:val="28"/>
        </w:rPr>
        <w:fldChar w:fldCharType="end"/>
      </w:r>
    </w:p>
    <w:p>
      <w:pPr>
        <w:pStyle w:val="14"/>
        <w:tabs>
          <w:tab w:val="right" w:leader="dot" w:pos="9070"/>
        </w:tabs>
      </w:pPr>
      <w:r>
        <w:rPr>
          <w:rFonts w:hint="eastAsia" w:ascii="仿宋" w:hAnsi="仿宋" w:eastAsia="仿宋"/>
          <w:szCs w:val="28"/>
        </w:rPr>
        <w:fldChar w:fldCharType="begin"/>
      </w:r>
      <w:r>
        <w:rPr>
          <w:rFonts w:hint="eastAsia" w:ascii="仿宋" w:hAnsi="仿宋" w:eastAsia="仿宋"/>
          <w:szCs w:val="28"/>
        </w:rPr>
        <w:instrText xml:space="preserve"> HYPERLINK \l _Toc19211 </w:instrText>
      </w:r>
      <w:r>
        <w:rPr>
          <w:rFonts w:hint="eastAsia" w:ascii="仿宋" w:hAnsi="仿宋" w:eastAsia="仿宋"/>
          <w:szCs w:val="28"/>
        </w:rPr>
        <w:fldChar w:fldCharType="separate"/>
      </w:r>
      <w:r>
        <w:rPr>
          <w:rFonts w:hint="eastAsia"/>
          <w:szCs w:val="28"/>
        </w:rPr>
        <w:t>附件一</w:t>
      </w:r>
      <w:r>
        <w:tab/>
      </w:r>
      <w:r>
        <w:fldChar w:fldCharType="begin"/>
      </w:r>
      <w:r>
        <w:instrText xml:space="preserve"> PAGEREF _Toc19211 \h </w:instrText>
      </w:r>
      <w:r>
        <w:fldChar w:fldCharType="separate"/>
      </w:r>
      <w:r>
        <w:t>12</w:t>
      </w:r>
      <w:r>
        <w:fldChar w:fldCharType="end"/>
      </w:r>
      <w:r>
        <w:rPr>
          <w:rFonts w:hint="eastAsia" w:ascii="仿宋" w:hAnsi="仿宋" w:eastAsia="仿宋"/>
          <w:szCs w:val="28"/>
        </w:rPr>
        <w:fldChar w:fldCharType="end"/>
      </w:r>
    </w:p>
    <w:p>
      <w:pPr>
        <w:pStyle w:val="14"/>
        <w:tabs>
          <w:tab w:val="right" w:leader="dot" w:pos="9070"/>
        </w:tabs>
      </w:pPr>
      <w:r>
        <w:rPr>
          <w:rFonts w:hint="eastAsia" w:ascii="仿宋" w:hAnsi="仿宋" w:eastAsia="仿宋"/>
          <w:szCs w:val="28"/>
        </w:rPr>
        <w:fldChar w:fldCharType="begin"/>
      </w:r>
      <w:r>
        <w:rPr>
          <w:rFonts w:hint="eastAsia" w:ascii="仿宋" w:hAnsi="仿宋" w:eastAsia="仿宋"/>
          <w:szCs w:val="28"/>
        </w:rPr>
        <w:instrText xml:space="preserve"> HYPERLINK \l _Toc7304 </w:instrText>
      </w:r>
      <w:r>
        <w:rPr>
          <w:rFonts w:hint="eastAsia" w:ascii="仿宋" w:hAnsi="仿宋" w:eastAsia="仿宋"/>
          <w:szCs w:val="28"/>
        </w:rPr>
        <w:fldChar w:fldCharType="separate"/>
      </w:r>
      <w:r>
        <w:rPr>
          <w:rFonts w:hint="eastAsia"/>
          <w:szCs w:val="28"/>
        </w:rPr>
        <w:t>附件二</w:t>
      </w:r>
      <w:r>
        <w:tab/>
      </w:r>
      <w:r>
        <w:fldChar w:fldCharType="begin"/>
      </w:r>
      <w:r>
        <w:instrText xml:space="preserve"> PAGEREF _Toc7304 \h </w:instrText>
      </w:r>
      <w:r>
        <w:fldChar w:fldCharType="separate"/>
      </w:r>
      <w:r>
        <w:t>13</w:t>
      </w:r>
      <w:r>
        <w:fldChar w:fldCharType="end"/>
      </w:r>
      <w:r>
        <w:rPr>
          <w:rFonts w:hint="eastAsia" w:ascii="仿宋" w:hAnsi="仿宋" w:eastAsia="仿宋"/>
          <w:szCs w:val="28"/>
        </w:rPr>
        <w:fldChar w:fldCharType="end"/>
      </w:r>
    </w:p>
    <w:p>
      <w:pPr>
        <w:pStyle w:val="14"/>
        <w:tabs>
          <w:tab w:val="right" w:leader="dot" w:pos="9070"/>
        </w:tabs>
        <w:rPr>
          <w:rFonts w:hint="eastAsia" w:ascii="宋体" w:hAnsi="宋体" w:cs="宋体"/>
        </w:rPr>
      </w:pPr>
      <w:r>
        <w:rPr>
          <w:rFonts w:hint="eastAsia" w:ascii="宋体" w:hAnsi="宋体" w:cs="宋体"/>
          <w:szCs w:val="28"/>
        </w:rPr>
        <w:fldChar w:fldCharType="begin"/>
      </w:r>
      <w:r>
        <w:rPr>
          <w:rFonts w:hint="eastAsia" w:ascii="宋体" w:hAnsi="宋体" w:cs="宋体"/>
          <w:szCs w:val="28"/>
        </w:rPr>
        <w:instrText xml:space="preserve"> HYPERLINK \l _Toc10015 </w:instrText>
      </w:r>
      <w:r>
        <w:rPr>
          <w:rFonts w:hint="eastAsia" w:ascii="宋体" w:hAnsi="宋体" w:cs="宋体"/>
          <w:szCs w:val="28"/>
        </w:rPr>
        <w:fldChar w:fldCharType="separate"/>
      </w:r>
      <w:r>
        <w:rPr>
          <w:rFonts w:hint="eastAsia" w:ascii="宋体" w:hAnsi="宋体" w:cs="宋体"/>
          <w:bCs/>
        </w:rPr>
        <w:t>附件三</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_Toc10015 \h </w:instrText>
      </w:r>
      <w:r>
        <w:rPr>
          <w:rFonts w:hint="eastAsia" w:ascii="宋体" w:hAnsi="宋体" w:cs="宋体"/>
        </w:rPr>
        <w:fldChar w:fldCharType="separate"/>
      </w:r>
      <w:r>
        <w:rPr>
          <w:rFonts w:hint="eastAsia" w:ascii="宋体" w:hAnsi="宋体" w:cs="宋体"/>
        </w:rPr>
        <w:t>15</w:t>
      </w:r>
      <w:r>
        <w:rPr>
          <w:rFonts w:hint="eastAsia" w:ascii="宋体" w:hAnsi="宋体" w:cs="宋体"/>
        </w:rPr>
        <w:fldChar w:fldCharType="end"/>
      </w:r>
      <w:r>
        <w:rPr>
          <w:rFonts w:hint="eastAsia" w:ascii="宋体" w:hAnsi="宋体" w:cs="宋体"/>
          <w:szCs w:val="28"/>
        </w:rPr>
        <w:fldChar w:fldCharType="end"/>
      </w:r>
    </w:p>
    <w:p>
      <w:pPr>
        <w:pStyle w:val="14"/>
        <w:tabs>
          <w:tab w:val="right" w:leader="dot" w:pos="9070"/>
        </w:tabs>
        <w:rPr>
          <w:rFonts w:hint="eastAsia" w:ascii="宋体" w:hAnsi="宋体" w:cs="宋体"/>
        </w:rPr>
      </w:pPr>
      <w:r>
        <w:rPr>
          <w:rFonts w:hint="eastAsia" w:ascii="宋体" w:hAnsi="宋体" w:cs="宋体"/>
          <w:szCs w:val="28"/>
        </w:rPr>
        <w:fldChar w:fldCharType="begin"/>
      </w:r>
      <w:r>
        <w:rPr>
          <w:rFonts w:hint="eastAsia" w:ascii="宋体" w:hAnsi="宋体" w:cs="宋体"/>
          <w:szCs w:val="28"/>
        </w:rPr>
        <w:instrText xml:space="preserve"> HYPERLINK \l _Toc22947 </w:instrText>
      </w:r>
      <w:r>
        <w:rPr>
          <w:rFonts w:hint="eastAsia" w:ascii="宋体" w:hAnsi="宋体" w:cs="宋体"/>
          <w:szCs w:val="28"/>
        </w:rPr>
        <w:fldChar w:fldCharType="separate"/>
      </w:r>
      <w:r>
        <w:rPr>
          <w:rFonts w:hint="eastAsia" w:ascii="宋体" w:hAnsi="宋体" w:cs="宋体"/>
        </w:rPr>
        <w:t>附件四</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_Toc22947 \h </w:instrText>
      </w:r>
      <w:r>
        <w:rPr>
          <w:rFonts w:hint="eastAsia" w:ascii="宋体" w:hAnsi="宋体" w:cs="宋体"/>
        </w:rPr>
        <w:fldChar w:fldCharType="separate"/>
      </w:r>
      <w:r>
        <w:rPr>
          <w:rFonts w:hint="eastAsia" w:ascii="宋体" w:hAnsi="宋体" w:cs="宋体"/>
        </w:rPr>
        <w:t>18</w:t>
      </w:r>
      <w:r>
        <w:rPr>
          <w:rFonts w:hint="eastAsia" w:ascii="宋体" w:hAnsi="宋体" w:cs="宋体"/>
        </w:rPr>
        <w:fldChar w:fldCharType="end"/>
      </w:r>
      <w:r>
        <w:rPr>
          <w:rFonts w:hint="eastAsia" w:ascii="宋体" w:hAnsi="宋体" w:cs="宋体"/>
          <w:szCs w:val="28"/>
        </w:rPr>
        <w:fldChar w:fldCharType="end"/>
      </w:r>
    </w:p>
    <w:p>
      <w:pPr>
        <w:pStyle w:val="14"/>
        <w:tabs>
          <w:tab w:val="right" w:leader="dot" w:pos="9070"/>
        </w:tabs>
        <w:rPr>
          <w:rFonts w:hint="eastAsia" w:ascii="宋体" w:hAnsi="宋体" w:cs="宋体"/>
        </w:rPr>
      </w:pPr>
      <w:r>
        <w:rPr>
          <w:rFonts w:hint="eastAsia" w:ascii="宋体" w:hAnsi="宋体" w:cs="宋体"/>
          <w:szCs w:val="28"/>
        </w:rPr>
        <w:fldChar w:fldCharType="begin"/>
      </w:r>
      <w:r>
        <w:rPr>
          <w:rFonts w:hint="eastAsia" w:ascii="宋体" w:hAnsi="宋体" w:cs="宋体"/>
          <w:szCs w:val="28"/>
        </w:rPr>
        <w:instrText xml:space="preserve"> HYPERLINK \l _Toc7404 </w:instrText>
      </w:r>
      <w:r>
        <w:rPr>
          <w:rFonts w:hint="eastAsia" w:ascii="宋体" w:hAnsi="宋体" w:cs="宋体"/>
          <w:szCs w:val="28"/>
        </w:rPr>
        <w:fldChar w:fldCharType="separate"/>
      </w:r>
      <w:r>
        <w:rPr>
          <w:rFonts w:hint="eastAsia" w:ascii="宋体" w:hAnsi="宋体" w:cs="宋体"/>
        </w:rPr>
        <w:t>附件五</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_Toc7404 \h </w:instrText>
      </w:r>
      <w:r>
        <w:rPr>
          <w:rFonts w:hint="eastAsia" w:ascii="宋体" w:hAnsi="宋体" w:cs="宋体"/>
        </w:rPr>
        <w:fldChar w:fldCharType="separate"/>
      </w:r>
      <w:r>
        <w:rPr>
          <w:rFonts w:hint="eastAsia" w:ascii="宋体" w:hAnsi="宋体" w:cs="宋体"/>
        </w:rPr>
        <w:t>19</w:t>
      </w:r>
      <w:r>
        <w:rPr>
          <w:rFonts w:hint="eastAsia" w:ascii="宋体" w:hAnsi="宋体" w:cs="宋体"/>
        </w:rPr>
        <w:fldChar w:fldCharType="end"/>
      </w:r>
      <w:r>
        <w:rPr>
          <w:rFonts w:hint="eastAsia" w:ascii="宋体" w:hAnsi="宋体" w:cs="宋体"/>
          <w:szCs w:val="28"/>
        </w:rPr>
        <w:fldChar w:fldCharType="end"/>
      </w:r>
    </w:p>
    <w:p>
      <w:pPr>
        <w:pStyle w:val="14"/>
        <w:tabs>
          <w:tab w:val="right" w:leader="dot" w:pos="9070"/>
        </w:tabs>
      </w:pPr>
      <w:r>
        <w:rPr>
          <w:rFonts w:hint="eastAsia" w:ascii="宋体" w:hAnsi="宋体" w:cs="宋体"/>
          <w:szCs w:val="28"/>
        </w:rPr>
        <w:fldChar w:fldCharType="begin"/>
      </w:r>
      <w:r>
        <w:rPr>
          <w:rFonts w:hint="eastAsia" w:ascii="宋体" w:hAnsi="宋体" w:cs="宋体"/>
          <w:szCs w:val="28"/>
        </w:rPr>
        <w:instrText xml:space="preserve"> HYPERLINK \l _Toc3456 </w:instrText>
      </w:r>
      <w:r>
        <w:rPr>
          <w:rFonts w:hint="eastAsia" w:ascii="宋体" w:hAnsi="宋体" w:cs="宋体"/>
          <w:szCs w:val="28"/>
        </w:rPr>
        <w:fldChar w:fldCharType="separate"/>
      </w:r>
      <w:r>
        <w:rPr>
          <w:rFonts w:hint="eastAsia" w:ascii="宋体" w:hAnsi="宋体" w:cs="宋体"/>
          <w:bCs/>
        </w:rPr>
        <w:t>附件六</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_Toc3456 \h </w:instrText>
      </w:r>
      <w:r>
        <w:rPr>
          <w:rFonts w:hint="eastAsia" w:ascii="宋体" w:hAnsi="宋体" w:cs="宋体"/>
        </w:rPr>
        <w:fldChar w:fldCharType="separate"/>
      </w:r>
      <w:r>
        <w:rPr>
          <w:rFonts w:hint="eastAsia" w:ascii="宋体" w:hAnsi="宋体" w:cs="宋体"/>
        </w:rPr>
        <w:t>20</w:t>
      </w:r>
      <w:r>
        <w:rPr>
          <w:rFonts w:hint="eastAsia" w:ascii="宋体" w:hAnsi="宋体" w:cs="宋体"/>
        </w:rPr>
        <w:fldChar w:fldCharType="end"/>
      </w:r>
      <w:r>
        <w:rPr>
          <w:rFonts w:hint="eastAsia" w:ascii="宋体" w:hAnsi="宋体" w:cs="宋体"/>
          <w:szCs w:val="28"/>
        </w:rPr>
        <w:fldChar w:fldCharType="end"/>
      </w:r>
    </w:p>
    <w:p>
      <w:pPr>
        <w:rPr>
          <w:rFonts w:hint="eastAsia"/>
          <w:b/>
        </w:rPr>
      </w:pPr>
      <w:r>
        <w:rPr>
          <w:rFonts w:hint="eastAsia" w:ascii="仿宋" w:hAnsi="仿宋" w:eastAsia="仿宋"/>
          <w:szCs w:val="28"/>
        </w:rPr>
        <w:fldChar w:fldCharType="end"/>
      </w:r>
    </w:p>
    <w:p>
      <w:pPr>
        <w:pStyle w:val="2"/>
        <w:jc w:val="center"/>
        <w:rPr>
          <w:rFonts w:hint="eastAsia"/>
        </w:rPr>
      </w:pPr>
      <w:bookmarkStart w:id="0" w:name="_Toc26613960"/>
      <w:r>
        <w:rPr>
          <w:rFonts w:hint="eastAsia"/>
        </w:rPr>
        <w:br w:type="page"/>
      </w:r>
      <w:bookmarkStart w:id="1" w:name="_Toc4187"/>
      <w:r>
        <w:rPr>
          <w:rFonts w:hint="eastAsia"/>
        </w:rPr>
        <w:t>第一部分 招标邀请</w:t>
      </w:r>
      <w:bookmarkEnd w:id="0"/>
      <w:bookmarkEnd w:id="1"/>
    </w:p>
    <w:p>
      <w:pPr>
        <w:jc w:val="center"/>
        <w:rPr>
          <w:rFonts w:hint="eastAsia"/>
          <w:sz w:val="32"/>
          <w:szCs w:val="32"/>
        </w:rPr>
      </w:pPr>
      <w:r>
        <w:rPr>
          <w:rFonts w:hint="eastAsia"/>
          <w:sz w:val="32"/>
          <w:szCs w:val="32"/>
        </w:rPr>
        <w:t>南南铝业股份有限公司</w:t>
      </w:r>
    </w:p>
    <w:p>
      <w:pPr>
        <w:jc w:val="center"/>
        <w:rPr>
          <w:rFonts w:hint="eastAsia"/>
          <w:sz w:val="32"/>
          <w:szCs w:val="32"/>
        </w:rPr>
      </w:pPr>
      <w:r>
        <w:rPr>
          <w:rFonts w:hint="eastAsia"/>
          <w:sz w:val="32"/>
          <w:szCs w:val="32"/>
        </w:rPr>
        <w:t>招标邀请函</w:t>
      </w:r>
    </w:p>
    <w:p>
      <w:pPr>
        <w:rPr>
          <w:rFonts w:ascii="仿宋" w:hAnsi="仿宋" w:eastAsia="仿宋" w:cs="仿宋"/>
          <w:color w:val="000000"/>
          <w:kern w:val="0"/>
          <w:sz w:val="28"/>
          <w:szCs w:val="28"/>
        </w:rPr>
      </w:pPr>
      <w:r>
        <w:rPr>
          <w:rFonts w:hint="eastAsia" w:ascii="仿宋" w:hAnsi="仿宋" w:eastAsia="仿宋" w:cs="仿宋"/>
          <w:color w:val="000000"/>
          <w:kern w:val="0"/>
          <w:sz w:val="28"/>
          <w:szCs w:val="28"/>
        </w:rPr>
        <w:t xml:space="preserve">各投标单位 ：                    </w:t>
      </w:r>
      <w:r>
        <w:rPr>
          <w:rFonts w:ascii="仿宋" w:hAnsi="仿宋" w:eastAsia="仿宋" w:cs="仿宋"/>
          <w:color w:val="000000"/>
          <w:kern w:val="0"/>
          <w:sz w:val="28"/>
          <w:szCs w:val="28"/>
        </w:rPr>
        <w:t xml:space="preserve"> </w:t>
      </w:r>
    </w:p>
    <w:p>
      <w:pPr>
        <w:tabs>
          <w:tab w:val="left" w:pos="1620"/>
          <w:tab w:val="left" w:pos="2880"/>
        </w:tabs>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    我司</w:t>
      </w:r>
      <w:r>
        <w:rPr>
          <w:rFonts w:hint="eastAsia" w:ascii="仿宋" w:hAnsi="仿宋" w:eastAsia="仿宋" w:cs="仿宋"/>
          <w:color w:val="000000"/>
          <w:kern w:val="0"/>
          <w:sz w:val="28"/>
          <w:szCs w:val="28"/>
          <w:u w:val="single"/>
        </w:rPr>
        <w:t>2023年度办公设备采购</w:t>
      </w:r>
      <w:r>
        <w:rPr>
          <w:rFonts w:hint="eastAsia" w:ascii="仿宋" w:hAnsi="仿宋" w:eastAsia="仿宋" w:cs="仿宋"/>
          <w:color w:val="000000"/>
          <w:kern w:val="0"/>
          <w:sz w:val="28"/>
          <w:szCs w:val="28"/>
        </w:rPr>
        <w:t>战略合作单位招标工作现已启动，经资格预审，特邀请贵公司参与投标，现随函附上相关资料，请查核签收后按我司要求提交投标资料。</w:t>
      </w:r>
    </w:p>
    <w:p>
      <w:pPr>
        <w:tabs>
          <w:tab w:val="left" w:pos="1620"/>
          <w:tab w:val="left" w:pos="2880"/>
        </w:tabs>
        <w:rPr>
          <w:rFonts w:hint="eastAsia"/>
          <w:bCs/>
          <w:sz w:val="28"/>
          <w:szCs w:val="28"/>
        </w:rPr>
      </w:pPr>
      <w:r>
        <w:rPr>
          <w:rFonts w:hint="eastAsia" w:ascii="仿宋" w:hAnsi="仿宋" w:eastAsia="仿宋" w:cs="仿宋"/>
          <w:color w:val="000000"/>
          <w:kern w:val="0"/>
          <w:sz w:val="28"/>
          <w:szCs w:val="28"/>
        </w:rPr>
        <w:t>1.项目编号：</w:t>
      </w:r>
      <w:r>
        <w:rPr>
          <w:rFonts w:hint="eastAsia" w:ascii="宋体" w:hAnsi="宋体"/>
          <w:bCs/>
          <w:sz w:val="28"/>
          <w:szCs w:val="28"/>
          <w:u w:val="single"/>
        </w:rPr>
        <w:t xml:space="preserve">NN-IT2023021501          </w:t>
      </w:r>
    </w:p>
    <w:p>
      <w:pPr>
        <w:rPr>
          <w:rFonts w:hint="eastAsia" w:ascii="仿宋" w:hAnsi="仿宋" w:eastAsia="仿宋" w:cs="仿宋"/>
          <w:color w:val="000000"/>
          <w:kern w:val="0"/>
          <w:sz w:val="28"/>
          <w:szCs w:val="28"/>
          <w:u w:val="single"/>
        </w:rPr>
      </w:pPr>
      <w:r>
        <w:rPr>
          <w:rFonts w:hint="eastAsia" w:ascii="仿宋" w:hAnsi="仿宋" w:eastAsia="仿宋" w:cs="仿宋"/>
          <w:color w:val="000000"/>
          <w:kern w:val="0"/>
          <w:sz w:val="28"/>
          <w:szCs w:val="28"/>
        </w:rPr>
        <w:t>2.招标项目：</w:t>
      </w:r>
      <w:r>
        <w:rPr>
          <w:rFonts w:hint="eastAsia" w:ascii="仿宋" w:hAnsi="仿宋" w:eastAsia="仿宋" w:cs="仿宋"/>
          <w:color w:val="000000"/>
          <w:kern w:val="0"/>
          <w:sz w:val="28"/>
          <w:szCs w:val="28"/>
          <w:u w:val="single"/>
        </w:rPr>
        <w:t>2023年度办公设备采购战略合作</w:t>
      </w:r>
    </w:p>
    <w:p>
      <w:pPr>
        <w:rPr>
          <w:rFonts w:hint="eastAsia" w:ascii="仿宋" w:hAnsi="仿宋" w:eastAsia="仿宋" w:cs="仿宋"/>
          <w:color w:val="000000"/>
          <w:kern w:val="0"/>
          <w:sz w:val="28"/>
          <w:szCs w:val="28"/>
          <w:u w:val="single"/>
        </w:rPr>
      </w:pPr>
      <w:r>
        <w:rPr>
          <w:rFonts w:hint="eastAsia" w:ascii="仿宋" w:hAnsi="仿宋" w:eastAsia="仿宋" w:cs="仿宋"/>
          <w:color w:val="000000"/>
          <w:kern w:val="0"/>
          <w:sz w:val="28"/>
          <w:szCs w:val="28"/>
        </w:rPr>
        <w:t>3.业务联系电话：</w:t>
      </w:r>
      <w:r>
        <w:rPr>
          <w:rFonts w:hint="eastAsia" w:ascii="仿宋" w:hAnsi="仿宋" w:eastAsia="仿宋" w:cs="仿宋"/>
          <w:color w:val="000000"/>
          <w:kern w:val="0"/>
          <w:sz w:val="28"/>
          <w:szCs w:val="28"/>
          <w:u w:val="single"/>
        </w:rPr>
        <w:t>18507718865</w:t>
      </w:r>
    </w:p>
    <w:p>
      <w:pP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4.业务联系人：裴羽珂</w:t>
      </w:r>
    </w:p>
    <w:p>
      <w:pP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5.投标截止时间：截止</w:t>
      </w:r>
      <w:r>
        <w:rPr>
          <w:rFonts w:hint="eastAsia" w:ascii="仿宋" w:hAnsi="仿宋" w:eastAsia="仿宋" w:cs="仿宋"/>
          <w:color w:val="000000"/>
          <w:kern w:val="0"/>
          <w:sz w:val="28"/>
          <w:szCs w:val="28"/>
          <w:u w:val="single"/>
        </w:rPr>
        <w:t>2023年 2月2</w:t>
      </w:r>
      <w:r>
        <w:rPr>
          <w:rFonts w:hint="eastAsia" w:ascii="仿宋" w:hAnsi="仿宋" w:eastAsia="仿宋" w:cs="仿宋"/>
          <w:color w:val="000000"/>
          <w:kern w:val="0"/>
          <w:sz w:val="28"/>
          <w:szCs w:val="28"/>
          <w:u w:val="single"/>
          <w:lang w:val="en-US" w:eastAsia="zh-CN"/>
        </w:rPr>
        <w:t>7</w:t>
      </w:r>
      <w:r>
        <w:rPr>
          <w:rFonts w:hint="eastAsia" w:ascii="仿宋" w:hAnsi="仿宋" w:eastAsia="仿宋" w:cs="仿宋"/>
          <w:color w:val="000000"/>
          <w:kern w:val="0"/>
          <w:sz w:val="28"/>
          <w:szCs w:val="28"/>
          <w:u w:val="single"/>
        </w:rPr>
        <w:t>日 17时</w:t>
      </w:r>
      <w:r>
        <w:rPr>
          <w:rFonts w:hint="eastAsia" w:ascii="仿宋" w:hAnsi="仿宋" w:eastAsia="仿宋" w:cs="仿宋"/>
          <w:color w:val="000000"/>
          <w:kern w:val="0"/>
          <w:sz w:val="28"/>
          <w:szCs w:val="28"/>
        </w:rPr>
        <w:t xml:space="preserve"> </w:t>
      </w:r>
    </w:p>
    <w:p>
      <w:pP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6.标书送达地址：南宁市邕宁区仁信路南南铝业总部大楼A栋一楼综合办收标处 （直送或邮寄），联系电话：0771-2193003。</w:t>
      </w:r>
    </w:p>
    <w:p>
      <w:pP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7.招标细项详见附件二。    </w:t>
      </w:r>
    </w:p>
    <w:p>
      <w:pPr>
        <w:rPr>
          <w:rFonts w:hint="eastAsia" w:ascii="仿宋" w:hAnsi="仿宋" w:eastAsia="仿宋" w:cs="仿宋"/>
          <w:color w:val="000000"/>
          <w:kern w:val="0"/>
          <w:sz w:val="28"/>
          <w:szCs w:val="28"/>
        </w:rPr>
      </w:pPr>
    </w:p>
    <w:p>
      <w:pPr>
        <w:rPr>
          <w:rFonts w:hint="eastAsia" w:ascii="仿宋" w:hAnsi="仿宋" w:eastAsia="仿宋" w:cs="仿宋"/>
          <w:color w:val="000000"/>
          <w:kern w:val="0"/>
          <w:sz w:val="28"/>
          <w:szCs w:val="28"/>
        </w:rPr>
      </w:pPr>
    </w:p>
    <w:p>
      <w:pPr>
        <w:rPr>
          <w:rFonts w:hint="eastAsia" w:ascii="仿宋" w:hAnsi="仿宋" w:eastAsia="仿宋" w:cs="仿宋"/>
          <w:color w:val="000000"/>
          <w:kern w:val="0"/>
          <w:sz w:val="28"/>
          <w:szCs w:val="28"/>
        </w:rPr>
      </w:pPr>
    </w:p>
    <w:p>
      <w:pPr>
        <w:rPr>
          <w:rFonts w:hint="eastAsia" w:ascii="仿宋" w:hAnsi="仿宋" w:eastAsia="仿宋" w:cs="仿宋"/>
          <w:color w:val="000000"/>
          <w:kern w:val="0"/>
          <w:sz w:val="28"/>
          <w:szCs w:val="28"/>
        </w:rPr>
      </w:pPr>
    </w:p>
    <w:p>
      <w:pPr>
        <w:rPr>
          <w:rFonts w:hint="eastAsia" w:ascii="仿宋" w:hAnsi="仿宋" w:eastAsia="仿宋" w:cs="仿宋"/>
          <w:color w:val="000000"/>
          <w:kern w:val="0"/>
          <w:sz w:val="28"/>
          <w:szCs w:val="28"/>
        </w:rPr>
      </w:pPr>
    </w:p>
    <w:p>
      <w:pPr>
        <w:rPr>
          <w:rFonts w:hint="eastAsia" w:ascii="仿宋" w:hAnsi="仿宋" w:eastAsia="仿宋" w:cs="仿宋"/>
          <w:color w:val="000000"/>
          <w:kern w:val="0"/>
          <w:sz w:val="28"/>
          <w:szCs w:val="28"/>
        </w:rPr>
      </w:pPr>
    </w:p>
    <w:p>
      <w:pPr>
        <w:pStyle w:val="2"/>
        <w:jc w:val="center"/>
        <w:rPr>
          <w:rFonts w:hint="eastAsia"/>
        </w:rPr>
      </w:pPr>
      <w:r>
        <w:br w:type="page"/>
      </w:r>
      <w:bookmarkStart w:id="2" w:name="_Toc26613962"/>
      <w:bookmarkStart w:id="3" w:name="_Toc27329"/>
      <w:r>
        <w:rPr>
          <w:rFonts w:hint="eastAsia"/>
        </w:rPr>
        <w:t>第二部分 投标人须知</w:t>
      </w:r>
      <w:bookmarkEnd w:id="2"/>
      <w:bookmarkEnd w:id="3"/>
    </w:p>
    <w:p>
      <w:pPr>
        <w:pStyle w:val="3"/>
        <w:jc w:val="left"/>
        <w:rPr>
          <w:rFonts w:hint="eastAsia"/>
        </w:rPr>
      </w:pPr>
      <w:r>
        <w:rPr>
          <w:rFonts w:hint="eastAsia"/>
        </w:rPr>
        <w:t>一、说明</w:t>
      </w:r>
    </w:p>
    <w:p>
      <w:pPr>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1．投标单位应当按照招标文件的要求编制投标书。</w:t>
      </w:r>
    </w:p>
    <w:p>
      <w:pPr>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2．投标方代表如不是法人代表，须提交《法人代表授权书》和本人身份证复印件。</w:t>
      </w:r>
    </w:p>
    <w:p>
      <w:pPr>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3．无论招标的过程和结果如何，投标方自行承担参加投标有关的全部费用。</w:t>
      </w:r>
    </w:p>
    <w:p>
      <w:pPr>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4．本次招标过程禁止任何形式商业贿赂，一经发现，按如下规定处理：（1）未决标前将被取消评标入围资格；（2）已决标且被评为中标单位将被取消中标资格并没收投标保证金；（3）已签约的，邀标方有权单方面取消合同，并由中标单位承担邀标方因取消合同造成的全部损失。</w:t>
      </w:r>
    </w:p>
    <w:p>
      <w:pPr>
        <w:ind w:firstLine="562" w:firstLineChars="200"/>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5.投标方应足额缴纳投标保证金</w:t>
      </w:r>
      <w:r>
        <w:rPr>
          <w:rFonts w:hint="eastAsia" w:ascii="仿宋" w:hAnsi="仿宋" w:eastAsia="仿宋" w:cs="仿宋"/>
          <w:b/>
          <w:color w:val="000000"/>
          <w:kern w:val="0"/>
          <w:sz w:val="28"/>
          <w:szCs w:val="28"/>
          <w:u w:val="single"/>
        </w:rPr>
        <w:t>贰仟元</w:t>
      </w:r>
      <w:r>
        <w:rPr>
          <w:rFonts w:hint="eastAsia" w:ascii="仿宋" w:hAnsi="仿宋" w:eastAsia="仿宋" w:cs="仿宋"/>
          <w:b/>
          <w:color w:val="000000"/>
          <w:kern w:val="0"/>
          <w:sz w:val="28"/>
          <w:szCs w:val="28"/>
        </w:rPr>
        <w:t>整。如有合作并在我司有超过</w:t>
      </w:r>
      <w:r>
        <w:rPr>
          <w:rFonts w:hint="eastAsia" w:ascii="仿宋" w:hAnsi="仿宋" w:eastAsia="仿宋" w:cs="仿宋"/>
          <w:b/>
          <w:color w:val="000000"/>
          <w:kern w:val="0"/>
          <w:sz w:val="28"/>
          <w:szCs w:val="28"/>
          <w:u w:val="single"/>
        </w:rPr>
        <w:t>贰仟元</w:t>
      </w:r>
      <w:r>
        <w:rPr>
          <w:rFonts w:hint="eastAsia" w:ascii="仿宋" w:hAnsi="仿宋" w:eastAsia="仿宋" w:cs="仿宋"/>
          <w:b/>
          <w:color w:val="000000"/>
          <w:kern w:val="0"/>
          <w:sz w:val="28"/>
          <w:szCs w:val="28"/>
        </w:rPr>
        <w:t>应收账款的投标方视同已交。未中标方的投标保证金将在十个工作日内退还；因中标方原因不履行合同的投标保证金将做违约罚没处理。</w:t>
      </w:r>
    </w:p>
    <w:p>
      <w:pPr>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公司名称：南南铝业股份有限公司</w:t>
      </w:r>
    </w:p>
    <w:p>
      <w:pPr>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开户行：交通银行南宁福建园支行 </w:t>
      </w:r>
    </w:p>
    <w:p>
      <w:pPr>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帐号：451060501018000002994</w:t>
      </w:r>
    </w:p>
    <w:p>
      <w:pPr>
        <w:pStyle w:val="27"/>
        <w:ind w:firstLine="560"/>
        <w:rPr>
          <w:rFonts w:ascii="仿宋" w:hAnsi="仿宋" w:eastAsia="仿宋" w:cs="仿宋"/>
          <w:color w:val="000000"/>
          <w:kern w:val="0"/>
          <w:sz w:val="28"/>
          <w:szCs w:val="28"/>
        </w:rPr>
      </w:pPr>
      <w:r>
        <w:rPr>
          <w:rFonts w:hint="eastAsia" w:ascii="仿宋" w:hAnsi="仿宋" w:eastAsia="仿宋" w:cs="仿宋"/>
          <w:color w:val="000000"/>
          <w:kern w:val="0"/>
          <w:sz w:val="28"/>
          <w:szCs w:val="28"/>
        </w:rPr>
        <w:t>6．风险提示：各投标方应慎重考虑投资风险，如遇市场调节或其他外部因素有可能导致邀标方任务量不足而减少采购量。</w:t>
      </w:r>
    </w:p>
    <w:p>
      <w:pPr>
        <w:pStyle w:val="3"/>
        <w:numPr>
          <w:ilvl w:val="0"/>
          <w:numId w:val="1"/>
        </w:numPr>
        <w:jc w:val="left"/>
        <w:rPr>
          <w:rFonts w:hint="eastAsia"/>
        </w:rPr>
      </w:pPr>
      <w:r>
        <w:rPr>
          <w:rFonts w:hint="eastAsia"/>
        </w:rPr>
        <w:t>招标文件</w:t>
      </w:r>
    </w:p>
    <w:p>
      <w:pPr>
        <w:numPr>
          <w:ilvl w:val="0"/>
          <w:numId w:val="2"/>
        </w:numPr>
        <w:ind w:firstLine="560" w:firstLineChars="200"/>
        <w:outlineLvl w:val="2"/>
        <w:rPr>
          <w:rFonts w:ascii="仿宋" w:hAnsi="仿宋" w:eastAsia="仿宋" w:cs="仿宋"/>
          <w:color w:val="000000"/>
          <w:kern w:val="0"/>
          <w:sz w:val="28"/>
          <w:szCs w:val="28"/>
        </w:rPr>
      </w:pPr>
      <w:r>
        <w:rPr>
          <w:rFonts w:hint="eastAsia" w:ascii="仿宋" w:hAnsi="仿宋" w:eastAsia="仿宋" w:cs="仿宋"/>
          <w:color w:val="000000"/>
          <w:kern w:val="0"/>
          <w:sz w:val="28"/>
          <w:szCs w:val="28"/>
        </w:rPr>
        <w:t>招标文件的构成</w:t>
      </w:r>
    </w:p>
    <w:p>
      <w:pPr>
        <w:numPr>
          <w:ilvl w:val="0"/>
          <w:numId w:val="3"/>
        </w:numPr>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招标邀请</w:t>
      </w:r>
    </w:p>
    <w:p>
      <w:pPr>
        <w:numPr>
          <w:ilvl w:val="0"/>
          <w:numId w:val="3"/>
        </w:numPr>
        <w:ind w:firstLine="560" w:firstLineChars="200"/>
        <w:rPr>
          <w:rFonts w:hint="eastAsia" w:ascii="仿宋" w:hAnsi="仿宋" w:eastAsia="仿宋" w:cs="仿宋"/>
          <w:color w:val="000000"/>
          <w:kern w:val="0"/>
          <w:sz w:val="28"/>
          <w:szCs w:val="28"/>
        </w:rPr>
      </w:pPr>
      <w:r>
        <w:rPr>
          <w:rFonts w:ascii="仿宋" w:hAnsi="仿宋" w:eastAsia="仿宋" w:cs="仿宋"/>
          <w:color w:val="000000"/>
          <w:kern w:val="0"/>
          <w:sz w:val="28"/>
          <w:szCs w:val="28"/>
        </w:rPr>
        <w:t>投标人须知</w:t>
      </w:r>
    </w:p>
    <w:p>
      <w:pPr>
        <w:numPr>
          <w:ilvl w:val="0"/>
          <w:numId w:val="3"/>
        </w:numPr>
        <w:ind w:firstLine="560" w:firstLineChars="200"/>
        <w:rPr>
          <w:rFonts w:ascii="仿宋" w:hAnsi="仿宋" w:eastAsia="仿宋" w:cs="仿宋"/>
          <w:color w:val="000000"/>
          <w:kern w:val="0"/>
          <w:sz w:val="28"/>
          <w:szCs w:val="28"/>
        </w:rPr>
      </w:pPr>
      <w:r>
        <w:rPr>
          <w:rFonts w:ascii="仿宋" w:hAnsi="仿宋" w:eastAsia="仿宋" w:cs="仿宋"/>
          <w:color w:val="000000"/>
          <w:kern w:val="0"/>
          <w:sz w:val="28"/>
          <w:szCs w:val="28"/>
        </w:rPr>
        <w:t>开标及评标</w:t>
      </w:r>
    </w:p>
    <w:p>
      <w:pPr>
        <w:numPr>
          <w:ilvl w:val="0"/>
          <w:numId w:val="3"/>
        </w:numPr>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授予合同</w:t>
      </w:r>
    </w:p>
    <w:p>
      <w:pPr>
        <w:numPr>
          <w:ilvl w:val="0"/>
          <w:numId w:val="3"/>
        </w:numPr>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附件</w:t>
      </w:r>
    </w:p>
    <w:p>
      <w:pPr>
        <w:numPr>
          <w:ilvl w:val="0"/>
          <w:numId w:val="4"/>
        </w:numPr>
        <w:ind w:firstLine="560" w:firstLineChars="200"/>
        <w:outlineLvl w:val="2"/>
        <w:rPr>
          <w:rFonts w:ascii="仿宋" w:hAnsi="仿宋" w:eastAsia="仿宋" w:cs="仿宋"/>
          <w:color w:val="000000"/>
          <w:kern w:val="0"/>
          <w:sz w:val="28"/>
          <w:szCs w:val="28"/>
        </w:rPr>
      </w:pPr>
      <w:r>
        <w:rPr>
          <w:rFonts w:hint="eastAsia" w:ascii="仿宋" w:hAnsi="仿宋" w:eastAsia="仿宋" w:cs="仿宋"/>
          <w:color w:val="000000"/>
          <w:kern w:val="0"/>
          <w:sz w:val="28"/>
          <w:szCs w:val="28"/>
        </w:rPr>
        <w:t>招标文件的澄清</w:t>
      </w:r>
    </w:p>
    <w:p>
      <w:pPr>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投标方对招标文件如有疑问要求澄清，或认为有必要与邀标方进行技术交流，可用书面形式通知邀标方，但通知不得迟于投标截止时间，邀标方将用书面形式予以答复。并将不说明来源的答复发给各有关投标方。</w:t>
      </w:r>
    </w:p>
    <w:p>
      <w:pPr>
        <w:ind w:firstLine="560" w:firstLineChars="200"/>
        <w:outlineLvl w:val="2"/>
        <w:rPr>
          <w:rFonts w:ascii="仿宋" w:hAnsi="仿宋" w:eastAsia="仿宋" w:cs="仿宋"/>
          <w:color w:val="000000"/>
          <w:kern w:val="0"/>
          <w:sz w:val="28"/>
          <w:szCs w:val="28"/>
        </w:rPr>
      </w:pPr>
      <w:r>
        <w:rPr>
          <w:rFonts w:hint="eastAsia" w:ascii="仿宋" w:hAnsi="仿宋" w:eastAsia="仿宋" w:cs="仿宋"/>
          <w:color w:val="000000"/>
          <w:kern w:val="0"/>
          <w:sz w:val="28"/>
          <w:szCs w:val="28"/>
        </w:rPr>
        <w:t>（三）招标文件的修改</w:t>
      </w:r>
    </w:p>
    <w:p>
      <w:pPr>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在投标截止时间前，邀标方有权修改招标文件，并以书面形式通知投标方。修改的文件作为招标文件的补充和组成部分，对所有投标方均有约束力；</w:t>
      </w:r>
    </w:p>
    <w:p>
      <w:pPr>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为使投标方有足够的时间按招标修改文件要求修改投标文件，邀标方可酌情推迟投标截止时间和开标时间，并将此变更书面通知各投标方。</w:t>
      </w:r>
    </w:p>
    <w:p>
      <w:pPr>
        <w:pStyle w:val="3"/>
        <w:numPr>
          <w:ilvl w:val="0"/>
          <w:numId w:val="1"/>
        </w:numPr>
        <w:jc w:val="left"/>
        <w:rPr>
          <w:rFonts w:hint="eastAsia"/>
        </w:rPr>
      </w:pPr>
      <w:r>
        <w:rPr>
          <w:rFonts w:hint="eastAsia"/>
        </w:rPr>
        <w:t>投标文件</w:t>
      </w:r>
    </w:p>
    <w:p>
      <w:pPr>
        <w:ind w:firstLine="560" w:firstLineChars="200"/>
        <w:outlineLvl w:val="2"/>
        <w:rPr>
          <w:rFonts w:ascii="仿宋" w:hAnsi="仿宋" w:eastAsia="仿宋" w:cs="仿宋"/>
          <w:color w:val="000000"/>
          <w:kern w:val="0"/>
          <w:sz w:val="28"/>
          <w:szCs w:val="28"/>
        </w:rPr>
      </w:pPr>
      <w:r>
        <w:rPr>
          <w:rFonts w:hint="eastAsia" w:ascii="仿宋" w:hAnsi="仿宋" w:eastAsia="仿宋" w:cs="仿宋"/>
          <w:color w:val="000000"/>
          <w:kern w:val="0"/>
          <w:sz w:val="28"/>
          <w:szCs w:val="28"/>
        </w:rPr>
        <w:t>（一）文字要求</w:t>
      </w:r>
    </w:p>
    <w:p>
      <w:pPr>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投标方提交的投标书以及投标方与邀标方就有关投标的所有来往函电均应使用中文。投标方可以提交用其它语言印制的资料，但必须译成中文，在有差异和矛盾时以中文为准。</w:t>
      </w:r>
    </w:p>
    <w:p>
      <w:pPr>
        <w:ind w:firstLine="560" w:firstLineChars="200"/>
        <w:outlineLvl w:val="2"/>
        <w:rPr>
          <w:rFonts w:ascii="仿宋" w:hAnsi="仿宋" w:eastAsia="仿宋" w:cs="仿宋"/>
          <w:color w:val="000000"/>
          <w:kern w:val="0"/>
          <w:sz w:val="28"/>
          <w:szCs w:val="28"/>
        </w:rPr>
      </w:pPr>
      <w:r>
        <w:rPr>
          <w:rFonts w:hint="eastAsia" w:ascii="仿宋" w:hAnsi="仿宋" w:eastAsia="仿宋" w:cs="仿宋"/>
          <w:color w:val="000000"/>
          <w:kern w:val="0"/>
          <w:sz w:val="28"/>
          <w:szCs w:val="28"/>
        </w:rPr>
        <w:t>（二）编写要求</w:t>
      </w:r>
    </w:p>
    <w:p>
      <w:pPr>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投标方应仔细阅读招标文件中的所有内容，按照招标文件要求详细编制投标文件，并保证投标文件的正确性和真实性。</w:t>
      </w:r>
    </w:p>
    <w:p>
      <w:pPr>
        <w:ind w:firstLine="560" w:firstLineChars="200"/>
        <w:outlineLvl w:val="2"/>
        <w:rPr>
          <w:rFonts w:ascii="仿宋" w:hAnsi="仿宋" w:eastAsia="仿宋" w:cs="仿宋"/>
          <w:color w:val="000000"/>
          <w:kern w:val="0"/>
          <w:sz w:val="28"/>
          <w:szCs w:val="28"/>
        </w:rPr>
      </w:pPr>
      <w:r>
        <w:rPr>
          <w:rFonts w:hint="eastAsia" w:ascii="仿宋" w:hAnsi="仿宋" w:eastAsia="仿宋" w:cs="仿宋"/>
          <w:color w:val="000000"/>
          <w:kern w:val="0"/>
          <w:sz w:val="28"/>
          <w:szCs w:val="28"/>
        </w:rPr>
        <w:t>（三）无效投标处理</w:t>
      </w:r>
    </w:p>
    <w:p>
      <w:pPr>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不按招标文件的要求提供的投标文件，邀标方有权按无效标处理。</w:t>
      </w:r>
    </w:p>
    <w:p>
      <w:pPr>
        <w:ind w:firstLine="562" w:firstLineChars="200"/>
        <w:outlineLvl w:val="2"/>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（四）投标文件的组成</w:t>
      </w:r>
    </w:p>
    <w:p>
      <w:pPr>
        <w:ind w:firstLine="562" w:firstLineChars="200"/>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 xml:space="preserve">4.1投标函 </w:t>
      </w:r>
    </w:p>
    <w:p>
      <w:pPr>
        <w:ind w:firstLine="562" w:firstLineChars="200"/>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4.2投标项目报价文件</w:t>
      </w:r>
    </w:p>
    <w:p>
      <w:pPr>
        <w:ind w:firstLine="562" w:firstLineChars="200"/>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4.3投标单位资质证明文件：法人代表授权书、投标人身份证复印件、企业营业执照复印件、组织机构代码证复印件、税务登记证复印件等。</w:t>
      </w:r>
    </w:p>
    <w:p>
      <w:pPr>
        <w:ind w:firstLine="562" w:firstLineChars="200"/>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4.4投标保证金转款银行回单复印件。</w:t>
      </w:r>
    </w:p>
    <w:p>
      <w:pPr>
        <w:ind w:firstLine="562" w:firstLineChars="200"/>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4.5投标书应填写招标项目全称、投标文件有目录、加盖公章以及投标单位法人代表或授权代表签字盖章，标书封面需注明投标单位及投标项目。</w:t>
      </w:r>
    </w:p>
    <w:p>
      <w:pPr>
        <w:ind w:firstLine="562" w:firstLineChars="200"/>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4.6投标书一式二份，正本、副本均须印制，分别装袋密封，封口处加盖公章，投标项目报价表装袋密封。</w:t>
      </w:r>
    </w:p>
    <w:p>
      <w:pPr>
        <w:ind w:firstLine="560" w:firstLineChars="200"/>
        <w:outlineLvl w:val="2"/>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（五） 投标方对邀标方应尽的保密义务</w:t>
      </w:r>
    </w:p>
    <w:p>
      <w:pPr>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5.1开标后直到授予投标方合同止，凡是属于审查、澄清、评价和比较投标的有关资料以及授标意向等，均不得向投标方或其他无关人员透露。</w:t>
      </w:r>
    </w:p>
    <w:p>
      <w:pPr>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5.2在评标前后和评标期间，投标方企图影响邀标方的任何活动，将导致投标被拒绝，并承担相应的法律责任。</w:t>
      </w:r>
    </w:p>
    <w:p>
      <w:pPr>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5.3投标方应严格保密邀标方提供的邀标文件，未经邀标方许可，投标方不得向第三方泄密，如经查实投标方违反本约定，邀标方将取消投标方的投标资格。</w:t>
      </w:r>
    </w:p>
    <w:p>
      <w:pPr>
        <w:ind w:firstLine="560" w:firstLineChars="200"/>
        <w:outlineLvl w:val="2"/>
        <w:rPr>
          <w:rFonts w:ascii="仿宋" w:hAnsi="仿宋" w:eastAsia="仿宋" w:cs="仿宋"/>
          <w:color w:val="000000"/>
          <w:kern w:val="0"/>
          <w:sz w:val="28"/>
          <w:szCs w:val="28"/>
        </w:rPr>
      </w:pPr>
      <w:r>
        <w:rPr>
          <w:rFonts w:hint="eastAsia" w:ascii="仿宋" w:hAnsi="仿宋" w:eastAsia="仿宋" w:cs="仿宋"/>
          <w:color w:val="000000"/>
          <w:kern w:val="0"/>
          <w:sz w:val="28"/>
          <w:szCs w:val="28"/>
        </w:rPr>
        <w:t>（六）投标文件的修改和撤回</w:t>
      </w:r>
    </w:p>
    <w:p>
      <w:pPr>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6.1投标方在投标以后如必须修改或撤回投标文件，必须在投标截止时间以前将书面的投标修改文件或撤标通知送达邀标方。</w:t>
      </w:r>
    </w:p>
    <w:p>
      <w:pPr>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6.2投标修改文件必须密封，在密封袋上写明招标项目名称、投标方名称、加盖投标方企业公章，并注明“修改文件”字样。</w:t>
      </w:r>
      <w:bookmarkStart w:id="4" w:name="_Toc409105638"/>
    </w:p>
    <w:p>
      <w:pPr>
        <w:ind w:firstLine="560" w:firstLineChars="200"/>
        <w:outlineLvl w:val="2"/>
        <w:rPr>
          <w:rFonts w:ascii="仿宋" w:hAnsi="仿宋" w:eastAsia="仿宋" w:cs="仿宋"/>
          <w:color w:val="000000"/>
          <w:kern w:val="0"/>
          <w:sz w:val="28"/>
          <w:szCs w:val="28"/>
        </w:rPr>
      </w:pPr>
      <w:r>
        <w:rPr>
          <w:rFonts w:hint="eastAsia" w:ascii="仿宋" w:hAnsi="仿宋" w:eastAsia="仿宋" w:cs="仿宋"/>
          <w:color w:val="000000"/>
          <w:kern w:val="0"/>
          <w:sz w:val="28"/>
          <w:szCs w:val="28"/>
        </w:rPr>
        <w:t>（七）无效投标</w:t>
      </w:r>
      <w:bookmarkEnd w:id="4"/>
    </w:p>
    <w:p>
      <w:pPr>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7.1在投标截止时间以后送达的投标文件；</w:t>
      </w:r>
    </w:p>
    <w:p>
      <w:pPr>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7.2未按招标文件要求密封的投标文件和由于包装不妥而失散或严重破损的投标文件；</w:t>
      </w:r>
    </w:p>
    <w:p>
      <w:pPr>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7.3</w:t>
      </w:r>
      <w:r>
        <w:rPr>
          <w:rFonts w:ascii="仿宋" w:hAnsi="仿宋" w:eastAsia="仿宋" w:cs="仿宋"/>
          <w:color w:val="000000"/>
          <w:kern w:val="0"/>
          <w:sz w:val="28"/>
          <w:szCs w:val="28"/>
        </w:rPr>
        <w:t>未按招标文件要求编制或字迹模糊、辨认不清的</w:t>
      </w:r>
      <w:r>
        <w:rPr>
          <w:rFonts w:hint="eastAsia" w:ascii="仿宋" w:hAnsi="仿宋" w:eastAsia="仿宋" w:cs="仿宋"/>
          <w:color w:val="000000"/>
          <w:kern w:val="0"/>
          <w:sz w:val="28"/>
          <w:szCs w:val="28"/>
        </w:rPr>
        <w:t>；</w:t>
      </w:r>
    </w:p>
    <w:p>
      <w:pPr>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7.4与招标文件有重大负偏离的投标文件；</w:t>
      </w:r>
    </w:p>
    <w:p>
      <w:pPr>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7.5未按投标文件规定提供投标保证金的投标文件；</w:t>
      </w:r>
    </w:p>
    <w:p>
      <w:pPr>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7.6关键文件没有投标方授权代表签字和加盖公章的投标文件；</w:t>
      </w:r>
    </w:p>
    <w:p>
      <w:pPr>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7.7</w:t>
      </w:r>
      <w:r>
        <w:rPr>
          <w:rFonts w:ascii="仿宋" w:hAnsi="仿宋" w:eastAsia="仿宋" w:cs="仿宋"/>
          <w:color w:val="000000"/>
          <w:kern w:val="0"/>
          <w:sz w:val="28"/>
          <w:szCs w:val="28"/>
        </w:rPr>
        <w:t>投标人递交两份或两份以上内容不同的投标书</w:t>
      </w:r>
      <w:r>
        <w:rPr>
          <w:rFonts w:hint="eastAsia" w:ascii="仿宋" w:hAnsi="仿宋" w:eastAsia="仿宋" w:cs="仿宋"/>
          <w:color w:val="000000"/>
          <w:kern w:val="0"/>
          <w:sz w:val="28"/>
          <w:szCs w:val="28"/>
        </w:rPr>
        <w:t>。</w:t>
      </w:r>
    </w:p>
    <w:p>
      <w:pPr>
        <w:ind w:firstLine="560" w:firstLineChars="200"/>
        <w:outlineLvl w:val="2"/>
        <w:rPr>
          <w:rFonts w:hint="eastAsia" w:ascii="仿宋" w:hAnsi="仿宋" w:eastAsia="仿宋" w:cs="仿宋"/>
          <w:color w:val="000000"/>
          <w:kern w:val="0"/>
          <w:sz w:val="28"/>
          <w:szCs w:val="28"/>
        </w:rPr>
      </w:pPr>
      <w:bookmarkStart w:id="5" w:name="_Toc26613963"/>
      <w:r>
        <w:rPr>
          <w:rFonts w:hint="eastAsia" w:ascii="仿宋" w:hAnsi="仿宋" w:eastAsia="仿宋" w:cs="仿宋"/>
          <w:color w:val="000000"/>
          <w:kern w:val="0"/>
          <w:sz w:val="28"/>
          <w:szCs w:val="28"/>
        </w:rPr>
        <w:t>（八）其他要求</w:t>
      </w:r>
    </w:p>
    <w:p>
      <w:pPr>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8.1投标方须以邮寄或当面提交的方式，在投标截止时间前将投标文件送达邀标方，否则投标视为废标。</w:t>
      </w:r>
    </w:p>
    <w:p>
      <w:pPr>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8.2投标人不得以他人名义投标或以其他方式弄虚作假，骗取中标。</w:t>
      </w:r>
    </w:p>
    <w:p>
      <w:pPr>
        <w:pStyle w:val="2"/>
        <w:spacing w:line="413" w:lineRule="auto"/>
        <w:jc w:val="left"/>
        <w:rPr>
          <w:rFonts w:hint="eastAsia"/>
        </w:rPr>
      </w:pPr>
      <w:bookmarkStart w:id="6" w:name="_Toc23231"/>
      <w:r>
        <w:rPr>
          <w:rFonts w:hint="eastAsia"/>
        </w:rPr>
        <w:t>第三部分 开标及评标</w:t>
      </w:r>
      <w:bookmarkEnd w:id="5"/>
      <w:bookmarkEnd w:id="6"/>
    </w:p>
    <w:p>
      <w:pPr>
        <w:pStyle w:val="4"/>
        <w:ind w:left="420"/>
      </w:pPr>
      <w:r>
        <w:rPr>
          <w:rFonts w:hint="eastAsia"/>
        </w:rPr>
        <w:t>（一）开标</w:t>
      </w:r>
    </w:p>
    <w:p>
      <w:pPr>
        <w:ind w:firstLine="560" w:firstLineChars="200"/>
        <w:rPr>
          <w:rFonts w:ascii="仿宋" w:hAnsi="仿宋" w:eastAsia="仿宋" w:cs="仿宋"/>
          <w:color w:val="000000"/>
          <w:kern w:val="0"/>
          <w:sz w:val="28"/>
          <w:szCs w:val="28"/>
        </w:rPr>
      </w:pPr>
      <w:r>
        <w:rPr>
          <w:rFonts w:ascii="仿宋" w:hAnsi="仿宋" w:eastAsia="仿宋" w:cs="仿宋"/>
          <w:color w:val="000000"/>
          <w:kern w:val="0"/>
          <w:sz w:val="28"/>
          <w:szCs w:val="28"/>
        </w:rPr>
        <w:t>邀标方将自行组建评标小组在投标截止期后的某一时间对所有投标文件统一拆封开标</w:t>
      </w:r>
      <w:r>
        <w:rPr>
          <w:rFonts w:hint="eastAsia" w:ascii="仿宋" w:hAnsi="仿宋" w:eastAsia="仿宋" w:cs="仿宋"/>
          <w:color w:val="000000"/>
          <w:kern w:val="0"/>
          <w:sz w:val="28"/>
          <w:szCs w:val="28"/>
        </w:rPr>
        <w:t>。</w:t>
      </w:r>
      <w:bookmarkStart w:id="7" w:name="_Toc409105641"/>
    </w:p>
    <w:p>
      <w:pPr>
        <w:pStyle w:val="4"/>
        <w:ind w:left="420"/>
      </w:pPr>
      <w:r>
        <w:rPr>
          <w:rFonts w:hint="eastAsia"/>
        </w:rPr>
        <w:t>（二）投标文件初审</w:t>
      </w:r>
      <w:bookmarkEnd w:id="7"/>
    </w:p>
    <w:p>
      <w:pPr>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开标后，按规定组建的评标委员会对投标文件进行初审，初审内容为：</w:t>
      </w:r>
    </w:p>
    <w:p>
      <w:pPr>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2.1投标文件是否符合招标文件的要求，内容是否完整，文件签署是否齐全；</w:t>
      </w:r>
    </w:p>
    <w:p>
      <w:pPr>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2.2价格构成有无计算错误；</w:t>
      </w:r>
    </w:p>
    <w:p>
      <w:pPr>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2.3验证投标保证金;</w:t>
      </w:r>
    </w:p>
    <w:p>
      <w:pPr>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2.4初审时发现价格计算有误，将按下述原则修正：单价之和与总价不符，或以文字表示的数据与数字表示的有差别，将以较低价为准修正价格；</w:t>
      </w:r>
    </w:p>
    <w:p>
      <w:pPr>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2.5初审时如发现投标产品与招标产品在规格型号、技术参数、性能、质量、交货期有重大偏离，其投标文件将被拒绝。但允许投标产品在满足招标技术规格书的前提下出现的合理偏差（仅限于优化招标文件要求）;</w:t>
      </w:r>
    </w:p>
    <w:p>
      <w:pPr>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2.6邀标方对投标文件的判定，只依据投标内容本身，不依靠开标后的任何外来证明。</w:t>
      </w:r>
      <w:bookmarkStart w:id="8" w:name="_Toc409105642"/>
    </w:p>
    <w:p>
      <w:pPr>
        <w:pStyle w:val="4"/>
        <w:ind w:left="420"/>
      </w:pPr>
      <w:r>
        <w:rPr>
          <w:rFonts w:hint="eastAsia"/>
        </w:rPr>
        <w:t>（三）询标</w:t>
      </w:r>
      <w:bookmarkEnd w:id="8"/>
    </w:p>
    <w:p>
      <w:pPr>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3.1为有利于对投标文件的比较和评议，邀标方可要求投标方对投标文件进行澄清，必要时邀标方可要求投标方对澄清的问题作出书面答复。书面答复须有投标全权代表签字并作为投标内容的一部分。</w:t>
      </w:r>
    </w:p>
    <w:p>
      <w:pPr>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3.2投标方对投标文件的澄清不得改变投标价格及实质性内容。</w:t>
      </w:r>
      <w:bookmarkStart w:id="9" w:name="_Toc409105643"/>
    </w:p>
    <w:p>
      <w:pPr>
        <w:pStyle w:val="4"/>
        <w:ind w:left="420"/>
      </w:pPr>
      <w:r>
        <w:rPr>
          <w:rFonts w:hint="eastAsia"/>
        </w:rPr>
        <w:t>（四）评标</w:t>
      </w:r>
      <w:bookmarkEnd w:id="9"/>
    </w:p>
    <w:p>
      <w:pPr>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4.1邀标方将按规定组建评标小组对具备实质性响应的投标文件进行评估和比较。</w:t>
      </w:r>
    </w:p>
    <w:p>
      <w:pPr>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4.2评标原则</w:t>
      </w:r>
    </w:p>
    <w:p>
      <w:pPr>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评标小组按照招标文件的要求进行评标以商务标为主，技术标为辅，同时考虑以下因素：</w:t>
      </w:r>
    </w:p>
    <w:p>
      <w:pPr>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（1）投标价格的竞争性；</w:t>
      </w:r>
    </w:p>
    <w:p>
      <w:pPr>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（2）小批量供货能力和售后服务；</w:t>
      </w:r>
    </w:p>
    <w:p>
      <w:pPr>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（3）交货期；</w:t>
      </w:r>
    </w:p>
    <w:p>
      <w:pPr>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（4）结算及付款方式；</w:t>
      </w:r>
    </w:p>
    <w:p>
      <w:pPr>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（5）经营信誉；</w:t>
      </w:r>
    </w:p>
    <w:p>
      <w:pPr>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（6）企业资质；</w:t>
      </w:r>
    </w:p>
    <w:p>
      <w:pPr>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（7）近三年来同类产品的业绩。</w:t>
      </w:r>
    </w:p>
    <w:p>
      <w:pPr>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4.3评标工作如需投标方配合，投标方必须接受。</w:t>
      </w:r>
    </w:p>
    <w:p>
      <w:pPr>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4.4评标小组经评审认为所有投标均不符合招标文件要求的，可以否决所有投标。</w:t>
      </w:r>
      <w:bookmarkStart w:id="10" w:name="_Toc408327757"/>
      <w:bookmarkStart w:id="11" w:name="_Toc409105644"/>
    </w:p>
    <w:p>
      <w:pPr>
        <w:pStyle w:val="4"/>
        <w:ind w:left="420"/>
      </w:pPr>
      <w:r>
        <w:rPr>
          <w:rFonts w:hint="eastAsia"/>
        </w:rPr>
        <w:t>（五）废标原则</w:t>
      </w:r>
      <w:bookmarkEnd w:id="10"/>
      <w:bookmarkEnd w:id="11"/>
    </w:p>
    <w:p>
      <w:pPr>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5.1评标小组经评审认为所有投标均不符合招标文件中“投标文件应按招标文件要求的格式和内容填写”、“投标人单位盖章齐全，符合招标文件规定”等规定的，可以否决所有投标，将作废标处理。</w:t>
      </w:r>
    </w:p>
    <w:p>
      <w:pPr>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5.2投标人以他人名义投标、串通投标、以行贿手段谋取中标或者以其它弄虚作假方式投标，将作废标处理。</w:t>
      </w:r>
    </w:p>
    <w:p>
      <w:pPr>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5.3若发现存在细微技术偏差，需先澄清技术问题，在技术参数和规范统一后再进行商务澄清，澄清过程应有书面记录。若技术与商务澄清后，投标人仍对招标文件中技术要求、商务条款等不响应，将作废标处理。</w:t>
      </w:r>
    </w:p>
    <w:p>
      <w:pPr>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5.4投标人若没有严格按照招标文件的要求编写投标文件或</w:t>
      </w:r>
      <w:r>
        <w:rPr>
          <w:rFonts w:ascii="仿宋" w:hAnsi="仿宋" w:eastAsia="仿宋" w:cs="仿宋"/>
          <w:color w:val="000000"/>
          <w:kern w:val="0"/>
          <w:sz w:val="28"/>
          <w:szCs w:val="28"/>
        </w:rPr>
        <w:t>修改招标文件清单</w:t>
      </w:r>
      <w:r>
        <w:rPr>
          <w:rFonts w:hint="eastAsia" w:ascii="仿宋" w:hAnsi="仿宋" w:eastAsia="仿宋" w:cs="仿宋"/>
          <w:color w:val="000000"/>
          <w:kern w:val="0"/>
          <w:sz w:val="28"/>
          <w:szCs w:val="28"/>
        </w:rPr>
        <w:t>，经评标小组确认，将作废标处理。</w:t>
      </w:r>
      <w:bookmarkStart w:id="12" w:name="_Toc409105645"/>
    </w:p>
    <w:p>
      <w:pPr>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5.5发现存在其他隐瞒和夸大事实行为的投标，将作废标处理。</w:t>
      </w:r>
    </w:p>
    <w:p>
      <w:pPr>
        <w:pStyle w:val="4"/>
        <w:ind w:left="420"/>
      </w:pPr>
      <w:r>
        <w:rPr>
          <w:rFonts w:hint="eastAsia"/>
        </w:rPr>
        <w:t>（六）中标标准</w:t>
      </w:r>
      <w:bookmarkEnd w:id="12"/>
    </w:p>
    <w:p>
      <w:pPr>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评标结束后，决标领导小组根据以下中标标准进行审查：</w:t>
      </w:r>
    </w:p>
    <w:p>
      <w:pPr>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6.1产品的技术、质量水平；</w:t>
      </w:r>
    </w:p>
    <w:p>
      <w:pPr>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6.2投标方履行集中采购协议的能力;</w:t>
      </w:r>
    </w:p>
    <w:p>
      <w:pPr>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6.3投标文件符合招标文件要求；</w:t>
      </w:r>
    </w:p>
    <w:p>
      <w:pPr>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6.4投标方有很好的执行集中采购协议的能力；</w:t>
      </w:r>
    </w:p>
    <w:p>
      <w:pPr>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6.5售价对买方最有利；</w:t>
      </w:r>
    </w:p>
    <w:p>
      <w:pPr>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6.6投标方能够提供质量技术、商务经济占综合优势的产品及服务。</w:t>
      </w:r>
    </w:p>
    <w:p>
      <w:pPr>
        <w:ind w:firstLine="560" w:firstLineChars="200"/>
        <w:rPr>
          <w:rFonts w:ascii="仿宋" w:hAnsi="仿宋" w:eastAsia="仿宋" w:cs="仿宋"/>
          <w:color w:val="000000"/>
          <w:kern w:val="0"/>
          <w:sz w:val="28"/>
          <w:szCs w:val="28"/>
        </w:rPr>
      </w:pPr>
      <w:bookmarkStart w:id="13" w:name="_Toc409105646"/>
      <w:r>
        <w:rPr>
          <w:rFonts w:hint="eastAsia" w:ascii="仿宋" w:hAnsi="仿宋" w:eastAsia="仿宋" w:cs="仿宋"/>
          <w:color w:val="000000"/>
          <w:kern w:val="0"/>
          <w:sz w:val="28"/>
          <w:szCs w:val="28"/>
        </w:rPr>
        <w:t>邀标方有权根据综合评标结果有选择地把中标通知书授予每大类材料的最佳投标者，每家投标单位可能中标不同大类或者全部类别的产品。</w:t>
      </w:r>
    </w:p>
    <w:bookmarkEnd w:id="13"/>
    <w:p>
      <w:pPr>
        <w:pStyle w:val="4"/>
        <w:ind w:left="420"/>
      </w:pPr>
      <w:r>
        <w:rPr>
          <w:rFonts w:hint="eastAsia"/>
        </w:rPr>
        <w:t>（七）中标通知</w:t>
      </w:r>
    </w:p>
    <w:p>
      <w:pPr>
        <w:ind w:firstLine="560" w:firstLineChars="200"/>
        <w:rPr>
          <w:rFonts w:ascii="仿宋" w:hAnsi="仿宋" w:eastAsia="仿宋" w:cs="仿宋"/>
          <w:color w:val="000000"/>
          <w:kern w:val="0"/>
          <w:sz w:val="28"/>
          <w:szCs w:val="28"/>
        </w:rPr>
      </w:pPr>
      <w:r>
        <w:rPr>
          <w:rFonts w:ascii="仿宋" w:hAnsi="仿宋" w:eastAsia="仿宋" w:cs="仿宋"/>
          <w:color w:val="000000"/>
          <w:kern w:val="0"/>
          <w:sz w:val="28"/>
          <w:szCs w:val="28"/>
        </w:rPr>
        <w:t>7</w:t>
      </w:r>
      <w:r>
        <w:rPr>
          <w:rFonts w:hint="eastAsia" w:ascii="仿宋" w:hAnsi="仿宋" w:eastAsia="仿宋" w:cs="仿宋"/>
          <w:color w:val="000000"/>
          <w:kern w:val="0"/>
          <w:sz w:val="28"/>
          <w:szCs w:val="28"/>
        </w:rPr>
        <w:t>.1在投标有效期内，邀标方将以书面的形式通知中标方；</w:t>
      </w:r>
    </w:p>
    <w:p>
      <w:pPr>
        <w:ind w:firstLine="560" w:firstLineChars="200"/>
        <w:rPr>
          <w:rFonts w:ascii="仿宋" w:hAnsi="仿宋" w:eastAsia="仿宋" w:cs="仿宋"/>
          <w:color w:val="000000"/>
          <w:kern w:val="0"/>
          <w:sz w:val="28"/>
          <w:szCs w:val="28"/>
        </w:rPr>
      </w:pPr>
      <w:r>
        <w:rPr>
          <w:rFonts w:ascii="仿宋" w:hAnsi="仿宋" w:eastAsia="仿宋" w:cs="仿宋"/>
          <w:color w:val="000000"/>
          <w:kern w:val="0"/>
          <w:sz w:val="28"/>
          <w:szCs w:val="28"/>
        </w:rPr>
        <w:t>7</w:t>
      </w:r>
      <w:r>
        <w:rPr>
          <w:rFonts w:hint="eastAsia" w:ascii="仿宋" w:hAnsi="仿宋" w:eastAsia="仿宋" w:cs="仿宋"/>
          <w:color w:val="000000"/>
          <w:kern w:val="0"/>
          <w:sz w:val="28"/>
          <w:szCs w:val="28"/>
        </w:rPr>
        <w:t>.2邀标方在向投标方授予中标通知书时，有权变更招标产品的数量和服务内容；</w:t>
      </w:r>
    </w:p>
    <w:p>
      <w:pPr>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7.3邀标方有权对未中标的投标方不作任何解释。</w:t>
      </w:r>
    </w:p>
    <w:p>
      <w:pPr>
        <w:pStyle w:val="2"/>
        <w:spacing w:line="413" w:lineRule="auto"/>
        <w:jc w:val="center"/>
        <w:rPr>
          <w:rFonts w:hint="eastAsia"/>
        </w:rPr>
      </w:pPr>
      <w:bookmarkStart w:id="14" w:name="_Toc26613964"/>
      <w:bookmarkStart w:id="15" w:name="_Toc31139"/>
      <w:r>
        <w:rPr>
          <w:rFonts w:hint="eastAsia"/>
        </w:rPr>
        <w:t>第四部分 授予合同</w:t>
      </w:r>
      <w:bookmarkEnd w:id="14"/>
      <w:bookmarkEnd w:id="15"/>
    </w:p>
    <w:p>
      <w:pPr>
        <w:pStyle w:val="4"/>
        <w:ind w:left="420"/>
        <w:rPr>
          <w:rFonts w:hint="eastAsia"/>
        </w:rPr>
      </w:pPr>
      <w:r>
        <w:rPr>
          <w:rFonts w:hint="eastAsia"/>
        </w:rPr>
        <w:t>（一）最终审查</w:t>
      </w:r>
    </w:p>
    <w:p>
      <w:pPr>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1.1 最终审查对象是招标项目的预中标方。</w:t>
      </w:r>
    </w:p>
    <w:p>
      <w:pPr>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1.2 审查的内容是对预中标方的以往价格、售后服务、经营信誉，以及邀标方认为有必要的其它问题作进一步的考查。</w:t>
      </w:r>
    </w:p>
    <w:p>
      <w:pPr>
        <w:pStyle w:val="4"/>
        <w:ind w:left="420"/>
        <w:rPr>
          <w:rFonts w:hint="eastAsia"/>
        </w:rPr>
      </w:pPr>
      <w:r>
        <w:rPr>
          <w:rFonts w:hint="eastAsia"/>
        </w:rPr>
        <w:t>（二）发出中标通知</w:t>
      </w:r>
    </w:p>
    <w:p>
      <w:pPr>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邀标方将向中标方发出中标通知，并与中标方签订合同或协议。</w:t>
      </w:r>
    </w:p>
    <w:p>
      <w:pPr>
        <w:pStyle w:val="4"/>
        <w:ind w:left="420"/>
        <w:rPr>
          <w:rFonts w:hint="eastAsia"/>
        </w:rPr>
      </w:pPr>
      <w:r>
        <w:rPr>
          <w:rFonts w:hint="eastAsia"/>
        </w:rPr>
        <w:t>（三）其他情况</w:t>
      </w:r>
    </w:p>
    <w:p>
      <w:pPr>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中标方如若有需要将部分产品外包的，必须向邀标方提前说明，提供外包方的产品生产资质，并接收邀标方的资质审查。</w:t>
      </w:r>
    </w:p>
    <w:p>
      <w:pPr>
        <w:ind w:firstLine="560" w:firstLineChars="200"/>
        <w:rPr>
          <w:rFonts w:hint="eastAsia" w:ascii="仿宋" w:hAnsi="仿宋" w:eastAsia="仿宋" w:cs="仿宋"/>
          <w:color w:val="000000"/>
          <w:kern w:val="0"/>
          <w:sz w:val="28"/>
          <w:szCs w:val="28"/>
        </w:rPr>
      </w:pPr>
    </w:p>
    <w:p>
      <w:pPr>
        <w:ind w:firstLine="560" w:firstLineChars="200"/>
        <w:rPr>
          <w:rFonts w:hint="eastAsia" w:ascii="仿宋" w:hAnsi="仿宋" w:eastAsia="仿宋" w:cs="仿宋"/>
          <w:color w:val="000000"/>
          <w:kern w:val="0"/>
          <w:sz w:val="28"/>
          <w:szCs w:val="28"/>
        </w:rPr>
      </w:pPr>
    </w:p>
    <w:p>
      <w:pPr>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                                         </w:t>
      </w:r>
    </w:p>
    <w:p>
      <w:pPr>
        <w:rPr>
          <w:rFonts w:hint="eastAsia" w:ascii="仿宋" w:hAnsi="仿宋" w:eastAsia="仿宋" w:cs="仿宋"/>
          <w:b/>
          <w:color w:val="000000"/>
          <w:kern w:val="0"/>
          <w:sz w:val="28"/>
          <w:szCs w:val="28"/>
        </w:rPr>
      </w:pPr>
    </w:p>
    <w:p>
      <w:pPr>
        <w:rPr>
          <w:rFonts w:hint="eastAsia" w:ascii="仿宋" w:hAnsi="仿宋" w:eastAsia="仿宋" w:cs="仿宋"/>
          <w:b/>
          <w:color w:val="000000"/>
          <w:kern w:val="0"/>
          <w:sz w:val="28"/>
          <w:szCs w:val="28"/>
        </w:rPr>
      </w:pPr>
    </w:p>
    <w:p>
      <w:pPr>
        <w:rPr>
          <w:rFonts w:hint="eastAsia" w:ascii="仿宋" w:hAnsi="仿宋" w:eastAsia="仿宋" w:cs="仿宋"/>
          <w:b/>
          <w:color w:val="000000"/>
          <w:kern w:val="0"/>
          <w:sz w:val="28"/>
          <w:szCs w:val="28"/>
        </w:rPr>
      </w:pPr>
    </w:p>
    <w:p>
      <w:pPr>
        <w:rPr>
          <w:rFonts w:hint="eastAsia" w:ascii="仿宋" w:hAnsi="仿宋" w:eastAsia="仿宋" w:cs="仿宋"/>
          <w:b/>
          <w:color w:val="000000"/>
          <w:kern w:val="0"/>
          <w:sz w:val="28"/>
          <w:szCs w:val="28"/>
        </w:rPr>
      </w:pPr>
    </w:p>
    <w:p>
      <w:pPr>
        <w:rPr>
          <w:rFonts w:hint="eastAsia" w:ascii="仿宋" w:hAnsi="仿宋" w:eastAsia="仿宋" w:cs="仿宋"/>
          <w:b/>
          <w:color w:val="000000"/>
          <w:kern w:val="0"/>
          <w:sz w:val="28"/>
          <w:szCs w:val="28"/>
        </w:rPr>
      </w:pPr>
    </w:p>
    <w:p>
      <w:pPr>
        <w:snapToGrid w:val="0"/>
        <w:spacing w:line="436" w:lineRule="atLeast"/>
        <w:jc w:val="left"/>
        <w:outlineLvl w:val="0"/>
        <w:rPr>
          <w:rFonts w:hint="eastAsia" w:ascii="仿宋" w:hAnsi="仿宋" w:eastAsia="仿宋" w:cs="仿宋"/>
          <w:b/>
          <w:bCs/>
          <w:sz w:val="30"/>
          <w:szCs w:val="30"/>
        </w:rPr>
      </w:pPr>
      <w:r>
        <w:rPr>
          <w:rFonts w:hint="eastAsia" w:ascii="仿宋" w:hAnsi="仿宋" w:eastAsia="仿宋" w:cs="仿宋"/>
          <w:b/>
          <w:color w:val="000000"/>
          <w:kern w:val="0"/>
          <w:sz w:val="28"/>
          <w:szCs w:val="28"/>
        </w:rPr>
        <w:br w:type="page"/>
      </w:r>
      <w:bookmarkStart w:id="16" w:name="_Toc26613965"/>
      <w:bookmarkStart w:id="17" w:name="_Toc19211"/>
      <w:r>
        <w:rPr>
          <w:rFonts w:hint="eastAsia"/>
          <w:b/>
          <w:color w:val="000000"/>
          <w:sz w:val="28"/>
          <w:szCs w:val="28"/>
        </w:rPr>
        <w:t>附件一</w:t>
      </w:r>
      <w:bookmarkEnd w:id="16"/>
      <w:bookmarkEnd w:id="17"/>
      <w:r>
        <w:rPr>
          <w:rFonts w:hint="eastAsia"/>
          <w:b/>
          <w:color w:val="000000"/>
          <w:sz w:val="28"/>
          <w:szCs w:val="28"/>
        </w:rPr>
        <w:t xml:space="preserve">  </w:t>
      </w:r>
      <w:r>
        <w:rPr>
          <w:rFonts w:hint="eastAsia"/>
          <w:sz w:val="30"/>
          <w:szCs w:val="30"/>
        </w:rPr>
        <w:t xml:space="preserve">                </w:t>
      </w:r>
      <w:r>
        <w:rPr>
          <w:rFonts w:hint="eastAsia"/>
          <w:b/>
          <w:bCs/>
          <w:sz w:val="30"/>
          <w:szCs w:val="30"/>
        </w:rPr>
        <w:t xml:space="preserve">  </w:t>
      </w:r>
      <w:r>
        <w:rPr>
          <w:rFonts w:hint="eastAsia" w:ascii="仿宋" w:hAnsi="仿宋" w:eastAsia="仿宋" w:cs="仿宋"/>
          <w:b/>
          <w:bCs/>
          <w:sz w:val="30"/>
          <w:szCs w:val="30"/>
        </w:rPr>
        <w:t xml:space="preserve"> </w:t>
      </w:r>
    </w:p>
    <w:p>
      <w:pPr>
        <w:keepNext/>
        <w:keepLines/>
        <w:spacing w:line="579" w:lineRule="auto"/>
        <w:jc w:val="center"/>
        <w:rPr>
          <w:b/>
          <w:color w:val="000000"/>
          <w:sz w:val="28"/>
          <w:szCs w:val="28"/>
        </w:rPr>
      </w:pPr>
      <w:r>
        <w:rPr>
          <w:rFonts w:hint="eastAsia" w:ascii="仿宋" w:hAnsi="仿宋" w:eastAsia="仿宋" w:cs="仿宋"/>
          <w:b/>
          <w:bCs/>
          <w:color w:val="000000"/>
          <w:sz w:val="30"/>
          <w:szCs w:val="30"/>
        </w:rPr>
        <w:t>投标函</w:t>
      </w:r>
    </w:p>
    <w:p>
      <w:pPr>
        <w:snapToGrid w:val="0"/>
        <w:spacing w:line="436" w:lineRule="atLeast"/>
        <w:rPr>
          <w:rFonts w:hint="eastAsia" w:ascii="仿宋" w:hAnsi="仿宋" w:eastAsia="仿宋" w:cs="仿宋"/>
          <w:color w:val="000000"/>
          <w:sz w:val="24"/>
          <w:szCs w:val="24"/>
        </w:rPr>
      </w:pPr>
      <w:r>
        <w:rPr>
          <w:rFonts w:hint="eastAsia" w:ascii="仿宋" w:hAnsi="仿宋" w:eastAsia="仿宋" w:cs="仿宋"/>
          <w:color w:val="000000"/>
          <w:sz w:val="24"/>
          <w:szCs w:val="24"/>
        </w:rPr>
        <w:t>致：南南铝业股份有限公司</w:t>
      </w:r>
    </w:p>
    <w:p>
      <w:pPr>
        <w:snapToGrid w:val="0"/>
        <w:spacing w:line="436" w:lineRule="atLeast"/>
        <w:ind w:left="-40" w:leftChars="-19" w:firstLine="496" w:firstLineChars="207"/>
        <w:rPr>
          <w:rFonts w:hint="eastAsia" w:ascii="仿宋" w:hAnsi="仿宋" w:eastAsia="仿宋" w:cs="仿宋"/>
          <w:color w:val="000000"/>
          <w:sz w:val="24"/>
          <w:szCs w:val="24"/>
        </w:rPr>
      </w:pPr>
      <w:r>
        <w:rPr>
          <w:rFonts w:hint="eastAsia" w:ascii="仿宋" w:hAnsi="仿宋" w:eastAsia="仿宋" w:cs="仿宋"/>
          <w:color w:val="000000"/>
          <w:sz w:val="24"/>
          <w:szCs w:val="24"/>
        </w:rPr>
        <w:t>根据南南铝业股份有限公司</w:t>
      </w:r>
      <w:r>
        <w:rPr>
          <w:rFonts w:hint="eastAsia" w:ascii="仿宋" w:hAnsi="仿宋" w:eastAsia="仿宋" w:cs="仿宋"/>
          <w:color w:val="000000"/>
          <w:sz w:val="24"/>
          <w:szCs w:val="24"/>
          <w:u w:val="single"/>
        </w:rPr>
        <w:t>2023年度办公设备采购战略合作</w:t>
      </w:r>
      <w:r>
        <w:rPr>
          <w:rFonts w:hint="eastAsia" w:ascii="仿宋" w:hAnsi="仿宋" w:eastAsia="仿宋" w:cs="仿宋"/>
          <w:color w:val="000000"/>
          <w:sz w:val="24"/>
          <w:szCs w:val="24"/>
        </w:rPr>
        <w:t>的招标文件，正式授权下述签字人</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（姓名和职务）代表投标供应商</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（投标响应单位的名称），提交按招标文件要求编制投标书正本</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份，副本</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份。</w:t>
      </w:r>
    </w:p>
    <w:p>
      <w:pPr>
        <w:spacing w:line="400" w:lineRule="exact"/>
        <w:ind w:firstLine="360" w:firstLineChars="150"/>
        <w:rPr>
          <w:rFonts w:hint="eastAsia" w:ascii="仿宋" w:hAnsi="仿宋" w:eastAsia="仿宋" w:cs="仿宋"/>
          <w:color w:val="000000"/>
          <w:sz w:val="24"/>
          <w:szCs w:val="24"/>
        </w:rPr>
      </w:pPr>
      <w:r>
        <w:rPr>
          <w:rFonts w:hint="eastAsia" w:ascii="仿宋" w:hAnsi="仿宋" w:eastAsia="仿宋" w:cs="仿宋"/>
          <w:color w:val="000000"/>
          <w:sz w:val="24"/>
          <w:szCs w:val="24"/>
        </w:rPr>
        <w:t>我方已完全明白招标文件的所有条款要求，并重申以下几点：</w:t>
      </w:r>
    </w:p>
    <w:p>
      <w:pPr>
        <w:spacing w:line="400" w:lineRule="exact"/>
        <w:ind w:firstLine="360" w:firstLineChars="150"/>
        <w:rPr>
          <w:rFonts w:hint="eastAsia" w:ascii="仿宋" w:hAnsi="仿宋" w:eastAsia="仿宋" w:cs="仿宋"/>
          <w:color w:val="000000"/>
          <w:sz w:val="24"/>
          <w:szCs w:val="24"/>
        </w:rPr>
      </w:pPr>
      <w:r>
        <w:rPr>
          <w:rFonts w:hint="eastAsia" w:ascii="仿宋" w:hAnsi="仿宋" w:eastAsia="仿宋" w:cs="仿宋"/>
          <w:color w:val="000000"/>
          <w:sz w:val="24"/>
          <w:szCs w:val="24"/>
        </w:rPr>
        <w:t>1.本投标文件的有效期自投标截止日起</w:t>
      </w:r>
      <w:r>
        <w:rPr>
          <w:rFonts w:hint="eastAsia" w:ascii="仿宋" w:hAnsi="仿宋" w:eastAsia="仿宋" w:cs="仿宋"/>
          <w:b/>
          <w:color w:val="000000"/>
          <w:sz w:val="24"/>
          <w:szCs w:val="24"/>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天内有效，如中标，有效期将延至集中采购协议终止日为止；</w:t>
      </w:r>
    </w:p>
    <w:p>
      <w:pPr>
        <w:spacing w:line="400" w:lineRule="exact"/>
        <w:ind w:firstLine="360" w:firstLineChars="150"/>
        <w:rPr>
          <w:rFonts w:hint="eastAsia" w:ascii="仿宋" w:hAnsi="仿宋" w:eastAsia="仿宋" w:cs="仿宋"/>
          <w:color w:val="000000"/>
          <w:sz w:val="24"/>
          <w:szCs w:val="24"/>
        </w:rPr>
      </w:pPr>
      <w:r>
        <w:rPr>
          <w:rFonts w:hint="eastAsia" w:ascii="仿宋" w:hAnsi="仿宋" w:eastAsia="仿宋" w:cs="仿宋"/>
          <w:color w:val="000000"/>
          <w:sz w:val="24"/>
          <w:szCs w:val="24"/>
        </w:rPr>
        <w:t>2.保证遵守招标文件中的有关规定的收费标准。</w:t>
      </w:r>
    </w:p>
    <w:p>
      <w:pPr>
        <w:spacing w:line="400" w:lineRule="exact"/>
        <w:ind w:firstLine="360" w:firstLineChars="150"/>
        <w:rPr>
          <w:rFonts w:hint="eastAsia" w:ascii="仿宋" w:hAnsi="仿宋" w:eastAsia="仿宋" w:cs="仿宋"/>
          <w:color w:val="000000"/>
          <w:sz w:val="24"/>
          <w:szCs w:val="24"/>
        </w:rPr>
      </w:pPr>
      <w:r>
        <w:rPr>
          <w:rFonts w:hint="eastAsia" w:ascii="仿宋" w:hAnsi="仿宋" w:eastAsia="仿宋" w:cs="仿宋"/>
          <w:color w:val="000000"/>
          <w:sz w:val="24"/>
          <w:szCs w:val="24"/>
        </w:rPr>
        <w:t>3.投标价格包含设计、制造、运输、保险、税费、商检、保管、保险、卸货、验收及售后服务及其他相关项目的所有费用。</w:t>
      </w:r>
    </w:p>
    <w:p>
      <w:pPr>
        <w:spacing w:line="400" w:lineRule="exact"/>
        <w:ind w:firstLine="360" w:firstLineChars="150"/>
        <w:rPr>
          <w:rFonts w:hint="eastAsia" w:ascii="仿宋" w:hAnsi="仿宋" w:eastAsia="仿宋" w:cs="仿宋"/>
          <w:color w:val="000000"/>
          <w:sz w:val="24"/>
          <w:szCs w:val="24"/>
        </w:rPr>
      </w:pPr>
      <w:r>
        <w:rPr>
          <w:rFonts w:hint="eastAsia" w:ascii="仿宋" w:hAnsi="仿宋" w:eastAsia="仿宋" w:cs="仿宋"/>
          <w:color w:val="000000"/>
          <w:sz w:val="24"/>
          <w:szCs w:val="24"/>
        </w:rPr>
        <w:t>4.如果我方中标，我方及我方下属公司、机构均将严格遵守与贵方的相关协议、合同的各项规定，及时为贵方的开发项目提供所需要的产品及相关服务。我方下属公司、机构的任何违约行为，均视为我方违约。</w:t>
      </w:r>
    </w:p>
    <w:p>
      <w:pPr>
        <w:spacing w:line="400" w:lineRule="exact"/>
        <w:ind w:firstLine="360" w:firstLineChars="150"/>
        <w:rPr>
          <w:rFonts w:hint="eastAsia" w:ascii="仿宋" w:hAnsi="仿宋" w:eastAsia="仿宋" w:cs="仿宋"/>
          <w:color w:val="000000"/>
          <w:sz w:val="24"/>
          <w:szCs w:val="24"/>
        </w:rPr>
      </w:pPr>
      <w:r>
        <w:rPr>
          <w:rFonts w:hint="eastAsia" w:ascii="仿宋" w:hAnsi="仿宋" w:eastAsia="仿宋" w:cs="仿宋"/>
          <w:color w:val="000000"/>
          <w:sz w:val="24"/>
          <w:szCs w:val="24"/>
        </w:rPr>
        <w:t>5.投标文件中所有关于投标资格的文件、证明材料、陈述均是真实的、准确的。若有违背，我方愿意承担由此而产生的一切后果。</w:t>
      </w:r>
    </w:p>
    <w:p>
      <w:pPr>
        <w:spacing w:line="400" w:lineRule="exact"/>
        <w:ind w:firstLine="360" w:firstLineChars="150"/>
        <w:rPr>
          <w:rFonts w:hint="eastAsia" w:ascii="仿宋" w:hAnsi="仿宋" w:eastAsia="仿宋" w:cs="仿宋"/>
          <w:color w:val="000000"/>
          <w:sz w:val="24"/>
          <w:szCs w:val="24"/>
        </w:rPr>
      </w:pPr>
      <w:r>
        <w:rPr>
          <w:rFonts w:hint="eastAsia" w:ascii="仿宋" w:hAnsi="仿宋" w:eastAsia="仿宋" w:cs="仿宋"/>
          <w:color w:val="000000"/>
          <w:sz w:val="24"/>
          <w:szCs w:val="24"/>
        </w:rPr>
        <w:t>6.我们完全理解贵方不一定接受最低报价的投标响应或收到的任何投标响应。</w:t>
      </w:r>
    </w:p>
    <w:p>
      <w:pPr>
        <w:spacing w:line="400" w:lineRule="exact"/>
        <w:ind w:firstLine="360" w:firstLineChars="150"/>
        <w:rPr>
          <w:rFonts w:hint="eastAsia" w:ascii="仿宋" w:hAnsi="仿宋" w:eastAsia="仿宋" w:cs="仿宋"/>
          <w:color w:val="000000"/>
          <w:sz w:val="24"/>
          <w:szCs w:val="24"/>
        </w:rPr>
      </w:pPr>
      <w:r>
        <w:rPr>
          <w:rFonts w:hint="eastAsia" w:ascii="仿宋" w:hAnsi="仿宋" w:eastAsia="仿宋" w:cs="仿宋"/>
          <w:color w:val="000000"/>
          <w:sz w:val="24"/>
          <w:szCs w:val="24"/>
        </w:rPr>
        <w:t>7.我们已详细审核全部招标文件及其有效补充文件，我们知道必须放弃提出含糊不清或误解的问题的权利。</w:t>
      </w:r>
    </w:p>
    <w:p>
      <w:pPr>
        <w:spacing w:line="400" w:lineRule="exact"/>
        <w:ind w:firstLine="360" w:firstLineChars="150"/>
        <w:rPr>
          <w:rFonts w:hint="eastAsia" w:ascii="仿宋" w:hAnsi="仿宋" w:eastAsia="仿宋" w:cs="仿宋"/>
          <w:color w:val="000000"/>
          <w:sz w:val="24"/>
          <w:szCs w:val="24"/>
        </w:rPr>
      </w:pPr>
      <w:r>
        <w:rPr>
          <w:rFonts w:hint="eastAsia" w:ascii="仿宋" w:hAnsi="仿宋" w:eastAsia="仿宋" w:cs="仿宋"/>
          <w:color w:val="000000"/>
          <w:sz w:val="24"/>
          <w:szCs w:val="24"/>
        </w:rPr>
        <w:t>8.如果贵方有要求，我方愿意进一步提供与本投标有关的任何证据或资料。</w:t>
      </w:r>
    </w:p>
    <w:p>
      <w:pPr>
        <w:spacing w:line="400" w:lineRule="exact"/>
        <w:ind w:firstLine="360" w:firstLineChars="150"/>
        <w:rPr>
          <w:rFonts w:hint="eastAsia" w:ascii="仿宋" w:hAnsi="仿宋" w:eastAsia="仿宋" w:cs="仿宋"/>
          <w:color w:val="000000"/>
          <w:sz w:val="24"/>
          <w:szCs w:val="24"/>
        </w:rPr>
      </w:pPr>
      <w:r>
        <w:rPr>
          <w:rFonts w:hint="eastAsia" w:ascii="仿宋" w:hAnsi="仿宋" w:eastAsia="仿宋" w:cs="仿宋"/>
          <w:color w:val="000000"/>
          <w:sz w:val="24"/>
          <w:szCs w:val="24"/>
        </w:rPr>
        <w:t>9.我方完全理解贵方并无意向在投标阶段与任何投标人建立合约关系，且贵方亦无义务必须接受最低报价的投标或收到的任何投标，同时不需向我方作任何解释。我方同意承担投标过程中产生的所有费用及风险，不因落标而向贵方主张任何费用或权利。</w:t>
      </w:r>
    </w:p>
    <w:p>
      <w:pPr>
        <w:spacing w:line="400" w:lineRule="exact"/>
        <w:ind w:firstLine="360" w:firstLineChars="150"/>
        <w:rPr>
          <w:rFonts w:hint="eastAsia" w:ascii="仿宋" w:hAnsi="仿宋" w:eastAsia="仿宋" w:cs="仿宋"/>
          <w:color w:val="000000"/>
          <w:sz w:val="24"/>
          <w:szCs w:val="24"/>
        </w:rPr>
      </w:pPr>
      <w:r>
        <w:rPr>
          <w:rFonts w:hint="eastAsia" w:ascii="仿宋" w:hAnsi="仿宋" w:eastAsia="仿宋" w:cs="仿宋"/>
          <w:color w:val="000000"/>
          <w:sz w:val="24"/>
          <w:szCs w:val="24"/>
        </w:rPr>
        <w:t>10.一旦我方被宣布中标，我们将根据招标文件的规定 ，严格按照《合同法》履行自己的责任和义务，完成项目交付甲方验收、使用。</w:t>
      </w:r>
    </w:p>
    <w:p>
      <w:pPr>
        <w:spacing w:line="400" w:lineRule="exact"/>
        <w:ind w:firstLine="360" w:firstLineChars="150"/>
        <w:rPr>
          <w:rFonts w:hint="eastAsia" w:ascii="仿宋" w:hAnsi="仿宋" w:eastAsia="仿宋" w:cs="仿宋"/>
          <w:color w:val="000000"/>
          <w:sz w:val="24"/>
          <w:szCs w:val="24"/>
        </w:rPr>
      </w:pPr>
      <w:r>
        <w:rPr>
          <w:rFonts w:hint="eastAsia" w:ascii="仿宋" w:hAnsi="仿宋" w:eastAsia="仿宋" w:cs="仿宋"/>
          <w:color w:val="000000"/>
          <w:sz w:val="24"/>
          <w:szCs w:val="24"/>
        </w:rPr>
        <w:t>11.与本投标有关的一切往来通讯请寄：</w:t>
      </w:r>
    </w:p>
    <w:p>
      <w:pPr>
        <w:pStyle w:val="7"/>
        <w:spacing w:line="520" w:lineRule="exact"/>
        <w:ind w:left="840"/>
        <w:rPr>
          <w:rFonts w:hint="eastAsia" w:ascii="仿宋" w:hAnsi="仿宋" w:eastAsia="仿宋" w:cs="仿宋"/>
          <w:color w:val="000000"/>
          <w:szCs w:val="24"/>
        </w:rPr>
      </w:pPr>
      <w:r>
        <w:rPr>
          <w:rFonts w:hint="eastAsia" w:ascii="仿宋" w:hAnsi="仿宋" w:eastAsia="仿宋" w:cs="仿宋"/>
          <w:color w:val="000000"/>
          <w:szCs w:val="24"/>
        </w:rPr>
        <w:t xml:space="preserve"> 地址：</w:t>
      </w:r>
      <w:r>
        <w:rPr>
          <w:rFonts w:hint="eastAsia" w:ascii="仿宋" w:hAnsi="仿宋" w:eastAsia="仿宋" w:cs="仿宋"/>
          <w:color w:val="000000"/>
          <w:szCs w:val="24"/>
          <w:u w:val="single"/>
        </w:rPr>
        <w:t xml:space="preserve">               </w:t>
      </w:r>
      <w:r>
        <w:rPr>
          <w:rFonts w:hint="eastAsia" w:ascii="仿宋" w:hAnsi="仿宋" w:eastAsia="仿宋" w:cs="仿宋"/>
          <w:color w:val="000000"/>
          <w:szCs w:val="24"/>
        </w:rPr>
        <w:t xml:space="preserve"> </w:t>
      </w:r>
      <w:r>
        <w:rPr>
          <w:rFonts w:hint="eastAsia" w:ascii="仿宋" w:hAnsi="仿宋" w:eastAsia="仿宋" w:cs="仿宋"/>
          <w:color w:val="000000"/>
          <w:szCs w:val="24"/>
          <w:u w:val="single"/>
        </w:rPr>
        <w:t xml:space="preserve">                                     </w:t>
      </w:r>
      <w:r>
        <w:rPr>
          <w:rFonts w:hint="eastAsia" w:ascii="仿宋" w:hAnsi="仿宋" w:eastAsia="仿宋" w:cs="仿宋"/>
          <w:color w:val="000000"/>
          <w:szCs w:val="24"/>
        </w:rPr>
        <w:t xml:space="preserve">        </w:t>
      </w:r>
    </w:p>
    <w:p>
      <w:pPr>
        <w:pStyle w:val="7"/>
        <w:spacing w:line="520" w:lineRule="exact"/>
        <w:ind w:firstLine="480" w:firstLineChars="200"/>
        <w:rPr>
          <w:rFonts w:hint="eastAsia" w:ascii="仿宋" w:hAnsi="仿宋" w:eastAsia="仿宋" w:cs="仿宋"/>
          <w:color w:val="000000"/>
          <w:szCs w:val="24"/>
          <w:u w:val="single"/>
        </w:rPr>
      </w:pPr>
      <w:r>
        <w:rPr>
          <w:rFonts w:hint="eastAsia" w:ascii="仿宋" w:hAnsi="仿宋" w:eastAsia="仿宋" w:cs="仿宋"/>
          <w:color w:val="000000"/>
          <w:szCs w:val="24"/>
        </w:rPr>
        <w:t>邮编：</w:t>
      </w:r>
      <w:r>
        <w:rPr>
          <w:rFonts w:hint="eastAsia" w:ascii="仿宋" w:hAnsi="仿宋" w:eastAsia="仿宋" w:cs="仿宋"/>
          <w:color w:val="000000"/>
          <w:szCs w:val="24"/>
          <w:u w:val="single"/>
        </w:rPr>
        <w:t xml:space="preserve">              </w:t>
      </w:r>
      <w:r>
        <w:rPr>
          <w:rFonts w:hint="eastAsia" w:ascii="仿宋" w:hAnsi="仿宋" w:eastAsia="仿宋" w:cs="仿宋"/>
          <w:color w:val="000000"/>
          <w:szCs w:val="24"/>
        </w:rPr>
        <w:t xml:space="preserve">  电话：</w:t>
      </w:r>
      <w:r>
        <w:rPr>
          <w:rFonts w:hint="eastAsia" w:ascii="仿宋" w:hAnsi="仿宋" w:eastAsia="仿宋" w:cs="仿宋"/>
          <w:color w:val="000000"/>
          <w:szCs w:val="24"/>
          <w:u w:val="single"/>
        </w:rPr>
        <w:t xml:space="preserve">                   </w:t>
      </w:r>
      <w:r>
        <w:rPr>
          <w:rFonts w:hint="eastAsia" w:ascii="仿宋" w:hAnsi="仿宋" w:eastAsia="仿宋" w:cs="仿宋"/>
          <w:color w:val="000000"/>
          <w:szCs w:val="24"/>
        </w:rPr>
        <w:t xml:space="preserve"> 传真：</w:t>
      </w:r>
      <w:r>
        <w:rPr>
          <w:rFonts w:hint="eastAsia" w:ascii="仿宋" w:hAnsi="仿宋" w:eastAsia="仿宋" w:cs="仿宋"/>
          <w:color w:val="000000"/>
          <w:szCs w:val="24"/>
          <w:u w:val="single"/>
        </w:rPr>
        <w:t xml:space="preserve">              </w:t>
      </w:r>
      <w:r>
        <w:rPr>
          <w:rFonts w:hint="eastAsia" w:ascii="仿宋" w:hAnsi="仿宋" w:eastAsia="仿宋" w:cs="仿宋"/>
          <w:color w:val="000000"/>
          <w:szCs w:val="24"/>
        </w:rPr>
        <w:t xml:space="preserve">  </w:t>
      </w:r>
      <w:r>
        <w:rPr>
          <w:rFonts w:hint="eastAsia" w:ascii="仿宋" w:hAnsi="仿宋" w:eastAsia="仿宋" w:cs="仿宋"/>
          <w:color w:val="000000"/>
          <w:szCs w:val="24"/>
          <w:u w:val="single"/>
        </w:rPr>
        <w:t xml:space="preserve">             </w:t>
      </w:r>
    </w:p>
    <w:p>
      <w:pPr>
        <w:snapToGrid w:val="0"/>
        <w:spacing w:line="436" w:lineRule="atLeast"/>
        <w:ind w:left="210" w:leftChars="100" w:firstLine="3600" w:firstLineChars="1500"/>
        <w:rPr>
          <w:rFonts w:hint="eastAsia" w:ascii="仿宋" w:hAnsi="仿宋" w:eastAsia="仿宋" w:cs="仿宋"/>
          <w:color w:val="000000"/>
          <w:sz w:val="24"/>
          <w:szCs w:val="24"/>
        </w:rPr>
      </w:pPr>
      <w:r>
        <w:rPr>
          <w:rFonts w:hint="eastAsia" w:ascii="仿宋" w:hAnsi="仿宋" w:eastAsia="仿宋" w:cs="仿宋"/>
          <w:color w:val="000000"/>
          <w:sz w:val="24"/>
          <w:szCs w:val="24"/>
        </w:rPr>
        <w:t>投标单位名称（盖章）：</w:t>
      </w:r>
    </w:p>
    <w:p>
      <w:pPr>
        <w:snapToGrid w:val="0"/>
        <w:spacing w:line="436" w:lineRule="atLeast"/>
        <w:ind w:left="210" w:leftChars="100" w:firstLine="3600" w:firstLineChars="150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投标人授权代表姓名(签字) ：              </w:t>
      </w:r>
    </w:p>
    <w:p>
      <w:pPr>
        <w:snapToGrid w:val="0"/>
        <w:spacing w:line="436" w:lineRule="atLeast"/>
        <w:ind w:left="210" w:leftChars="100" w:firstLine="3600" w:firstLineChars="1500"/>
        <w:rPr>
          <w:rFonts w:hint="eastAsia" w:ascii="仿宋" w:hAnsi="仿宋" w:eastAsia="仿宋" w:cs="仿宋"/>
          <w:color w:val="000000"/>
          <w:sz w:val="24"/>
          <w:szCs w:val="24"/>
        </w:rPr>
      </w:pPr>
      <w:r>
        <w:rPr>
          <w:rFonts w:hint="eastAsia" w:ascii="仿宋" w:hAnsi="仿宋" w:eastAsia="仿宋" w:cs="仿宋"/>
          <w:color w:val="000000"/>
          <w:sz w:val="24"/>
          <w:szCs w:val="24"/>
        </w:rPr>
        <w:t>日期：     　　　年　月　日</w:t>
      </w:r>
    </w:p>
    <w:p>
      <w:pPr>
        <w:rPr>
          <w:rFonts w:hint="eastAsia" w:ascii="仿宋" w:hAnsi="仿宋" w:eastAsia="仿宋" w:cs="仿宋"/>
          <w:b/>
          <w:color w:val="000000"/>
          <w:kern w:val="0"/>
          <w:sz w:val="28"/>
          <w:szCs w:val="28"/>
        </w:rPr>
      </w:pPr>
    </w:p>
    <w:p>
      <w:pPr>
        <w:snapToGrid w:val="0"/>
        <w:spacing w:line="436" w:lineRule="atLeast"/>
        <w:jc w:val="left"/>
        <w:outlineLvl w:val="0"/>
        <w:rPr>
          <w:rFonts w:hint="eastAsia"/>
          <w:b/>
          <w:color w:val="000000"/>
          <w:sz w:val="28"/>
          <w:szCs w:val="28"/>
        </w:rPr>
      </w:pPr>
      <w:bookmarkStart w:id="18" w:name="_Toc7304"/>
      <w:r>
        <w:rPr>
          <w:rFonts w:hint="eastAsia"/>
          <w:b/>
          <w:color w:val="000000"/>
          <w:sz w:val="28"/>
          <w:szCs w:val="28"/>
        </w:rPr>
        <w:t>附件二</w:t>
      </w:r>
      <w:bookmarkEnd w:id="18"/>
      <w:r>
        <w:rPr>
          <w:rFonts w:hint="eastAsia"/>
          <w:b/>
          <w:color w:val="000000"/>
          <w:sz w:val="28"/>
          <w:szCs w:val="28"/>
        </w:rPr>
        <w:t xml:space="preserve">                 </w:t>
      </w:r>
    </w:p>
    <w:p>
      <w:pPr>
        <w:spacing w:line="360" w:lineRule="auto"/>
        <w:jc w:val="center"/>
        <w:rPr>
          <w:rFonts w:ascii="仿宋" w:hAnsi="仿宋" w:eastAsia="仿宋" w:cs="仿宋"/>
          <w:b/>
          <w:color w:val="000000"/>
          <w:sz w:val="30"/>
          <w:szCs w:val="30"/>
        </w:rPr>
      </w:pPr>
      <w:bookmarkStart w:id="19" w:name="_Toc409105670"/>
      <w:r>
        <w:rPr>
          <w:rFonts w:hint="eastAsia" w:ascii="仿宋" w:hAnsi="仿宋" w:eastAsia="仿宋" w:cs="仿宋"/>
          <w:b/>
          <w:color w:val="000000"/>
          <w:sz w:val="30"/>
          <w:szCs w:val="30"/>
        </w:rPr>
        <w:t>2023年度办公设备采购战略合作采购方案说明</w:t>
      </w:r>
    </w:p>
    <w:p>
      <w:pPr>
        <w:wordWrap w:val="0"/>
        <w:spacing w:line="360" w:lineRule="auto"/>
        <w:ind w:firstLine="440" w:firstLineChars="200"/>
        <w:jc w:val="right"/>
        <w:rPr>
          <w:rFonts w:ascii="仿宋" w:hAnsi="仿宋" w:eastAsia="仿宋" w:cs="仿宋"/>
          <w:color w:val="000000"/>
          <w:sz w:val="22"/>
          <w:szCs w:val="24"/>
          <w:u w:val="single"/>
        </w:rPr>
      </w:pPr>
      <w:r>
        <w:rPr>
          <w:rFonts w:hint="eastAsia" w:ascii="仿宋" w:hAnsi="仿宋" w:eastAsia="仿宋" w:cs="仿宋"/>
          <w:color w:val="000000"/>
          <w:sz w:val="22"/>
          <w:szCs w:val="24"/>
        </w:rPr>
        <w:t>----招标编号：</w:t>
      </w:r>
      <w:r>
        <w:rPr>
          <w:rFonts w:hint="eastAsia" w:ascii="仿宋" w:hAnsi="仿宋" w:eastAsia="仿宋" w:cs="仿宋"/>
          <w:color w:val="000000"/>
          <w:sz w:val="22"/>
          <w:szCs w:val="24"/>
          <w:u w:val="single"/>
        </w:rPr>
        <w:t>NN-IT2023021501</w:t>
      </w:r>
    </w:p>
    <w:p>
      <w:pPr>
        <w:spacing w:line="360" w:lineRule="auto"/>
        <w:ind w:firstLine="482" w:firstLineChars="200"/>
        <w:jc w:val="left"/>
        <w:rPr>
          <w:rFonts w:hint="eastAsia" w:ascii="仿宋" w:hAnsi="仿宋" w:eastAsia="仿宋" w:cs="仿宋"/>
          <w:b/>
          <w:color w:val="000000"/>
          <w:sz w:val="24"/>
          <w:szCs w:val="24"/>
        </w:rPr>
      </w:pPr>
      <w:r>
        <w:rPr>
          <w:rFonts w:hint="eastAsia" w:ascii="仿宋" w:hAnsi="仿宋" w:eastAsia="仿宋" w:cs="仿宋"/>
          <w:b/>
          <w:color w:val="000000"/>
          <w:sz w:val="24"/>
          <w:szCs w:val="24"/>
        </w:rPr>
        <w:t>一、订单执行范围</w:t>
      </w:r>
    </w:p>
    <w:p>
      <w:pPr>
        <w:spacing w:line="360" w:lineRule="auto"/>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本次招标确定的入围供应商将为南南铝集团内各单位提供集采服务。</w:t>
      </w:r>
    </w:p>
    <w:p>
      <w:pPr>
        <w:spacing w:line="360" w:lineRule="auto"/>
        <w:ind w:firstLine="482" w:firstLineChars="200"/>
        <w:jc w:val="left"/>
        <w:rPr>
          <w:rFonts w:ascii="仿宋" w:hAnsi="仿宋" w:eastAsia="仿宋" w:cs="仿宋"/>
          <w:b/>
          <w:color w:val="000000"/>
          <w:sz w:val="24"/>
          <w:szCs w:val="24"/>
        </w:rPr>
      </w:pPr>
      <w:r>
        <w:rPr>
          <w:rFonts w:hint="eastAsia" w:ascii="仿宋" w:hAnsi="仿宋" w:eastAsia="仿宋" w:cs="仿宋"/>
          <w:b/>
          <w:color w:val="000000"/>
          <w:sz w:val="24"/>
          <w:szCs w:val="24"/>
        </w:rPr>
        <w:t>二、订单执行方法</w:t>
      </w:r>
    </w:p>
    <w:p>
      <w:pPr>
        <w:spacing w:line="360" w:lineRule="auto"/>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供应商通过本次招标成为甲方的入围供应商后，所有订单的发布和执行均在甲方提供的“ALNAN OMS”系统（以下简称“系统”）中进行，具体操作方式如下：</w:t>
      </w:r>
    </w:p>
    <w:p>
      <w:pPr>
        <w:spacing w:line="360" w:lineRule="auto"/>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1.系统账号开通</w:t>
      </w:r>
    </w:p>
    <w:p>
      <w:pPr>
        <w:spacing w:line="360" w:lineRule="auto"/>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合同签订后，入围供应商应及时向甲方报备电子邮箱地址，由甲方为乙方开通系统账号。</w:t>
      </w:r>
    </w:p>
    <w:p>
      <w:pPr>
        <w:spacing w:line="360" w:lineRule="auto"/>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2.需求发布</w:t>
      </w:r>
    </w:p>
    <w:p>
      <w:pPr>
        <w:spacing w:line="360" w:lineRule="auto"/>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甲方通过系统发布采购需求订单标的，并通过乙方报备的电子邮箱向各入围供应商推送订单通知。乙方可登录系统参与招采活动。</w:t>
      </w:r>
    </w:p>
    <w:p>
      <w:pPr>
        <w:spacing w:line="360" w:lineRule="auto"/>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向各入围供应商报备的电子邮箱发布需求订单。需求订单包含采购物资品名、规格、交期要求等信息。</w:t>
      </w:r>
    </w:p>
    <w:p>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3.报价</w:t>
      </w:r>
    </w:p>
    <w:p>
      <w:pPr>
        <w:spacing w:line="360" w:lineRule="auto"/>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乙方在系统中根据甲方所发布订单的物资名称、规格、数量、交期要求，填写所供货物的品牌、型号、规格、单价进行报价，乙方在报价时必须保证所供产品满足甲方所列要求。在开标前所有报价信息将对甲方及其他入围供应商隐藏。</w:t>
      </w:r>
    </w:p>
    <w:p>
      <w:pPr>
        <w:spacing w:line="360" w:lineRule="auto"/>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4.开标及评标</w:t>
      </w:r>
    </w:p>
    <w:p>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到达投标截止日期或所邀请的所有供应商都完成投标后，甲方将在系统中进行开标操作，并默认选定最低总价供应商作为该订单的供应商，当总价最低供应商所供产品不能满足甲方要求或是总价差异小于10%时，甲方可以选择所供货物品牌/规格/品质更优的供应商作为该订单的供应商并对选定原因进行说明。</w:t>
      </w:r>
    </w:p>
    <w:p>
      <w:pPr>
        <w:spacing w:line="360" w:lineRule="auto"/>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5.公示及答疑</w:t>
      </w:r>
    </w:p>
    <w:p>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甲方选定供应商后会进入为期1天的公示期，此时各供应商的投标情况将对所有参与该订单的供应商公示，对投标结果有疑义的供应商应及时向甲方反馈。</w:t>
      </w:r>
    </w:p>
    <w:p>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6.订单执行</w:t>
      </w:r>
    </w:p>
    <w:p>
      <w:pPr>
        <w:spacing w:line="360" w:lineRule="auto"/>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中标供应商在承诺交期前将订单所需货物配送至甲方指定地点，向甲方提供签收单，双方各执一份备案。运输费用由乙方承担。</w:t>
      </w:r>
    </w:p>
    <w:p>
      <w:pPr>
        <w:spacing w:line="360" w:lineRule="auto"/>
        <w:ind w:firstLine="482" w:firstLineChars="200"/>
        <w:jc w:val="left"/>
        <w:rPr>
          <w:rFonts w:hint="eastAsia" w:ascii="仿宋" w:hAnsi="仿宋" w:eastAsia="仿宋" w:cs="仿宋"/>
          <w:b/>
          <w:color w:val="000000"/>
          <w:sz w:val="24"/>
          <w:szCs w:val="24"/>
        </w:rPr>
      </w:pPr>
      <w:r>
        <w:rPr>
          <w:rFonts w:hint="eastAsia" w:ascii="仿宋" w:hAnsi="仿宋" w:eastAsia="仿宋" w:cs="仿宋"/>
          <w:b/>
          <w:color w:val="000000"/>
          <w:sz w:val="24"/>
          <w:szCs w:val="24"/>
        </w:rPr>
        <w:t>三、付款说明</w:t>
      </w:r>
    </w:p>
    <w:p>
      <w:pPr>
        <w:spacing w:line="360" w:lineRule="auto"/>
        <w:ind w:firstLine="482" w:firstLineChars="200"/>
        <w:jc w:val="left"/>
        <w:rPr>
          <w:rFonts w:hint="eastAsia" w:ascii="仿宋" w:hAnsi="仿宋" w:eastAsia="仿宋" w:cs="仿宋"/>
          <w:color w:val="000000"/>
          <w:sz w:val="24"/>
          <w:szCs w:val="24"/>
        </w:rPr>
      </w:pPr>
      <w:r>
        <w:rPr>
          <w:rFonts w:hint="eastAsia" w:ascii="仿宋" w:hAnsi="仿宋" w:eastAsia="仿宋" w:cs="仿宋"/>
          <w:b/>
          <w:bCs/>
          <w:color w:val="000000"/>
          <w:sz w:val="24"/>
          <w:szCs w:val="24"/>
        </w:rPr>
        <w:t>付款周期：</w:t>
      </w:r>
      <w:r>
        <w:rPr>
          <w:rFonts w:hint="eastAsia" w:ascii="仿宋" w:hAnsi="仿宋" w:eastAsia="仿宋" w:cs="仿宋"/>
          <w:color w:val="000000"/>
          <w:sz w:val="24"/>
          <w:szCs w:val="24"/>
        </w:rPr>
        <w:t>每季度甲方将根据系统数据与签收单据与供应商进行对账结算。</w:t>
      </w:r>
    </w:p>
    <w:p>
      <w:pPr>
        <w:spacing w:line="360" w:lineRule="auto"/>
        <w:ind w:firstLine="482" w:firstLineChars="200"/>
        <w:jc w:val="left"/>
        <w:rPr>
          <w:rFonts w:ascii="仿宋" w:hAnsi="仿宋" w:eastAsia="仿宋" w:cs="仿宋"/>
          <w:color w:val="000000"/>
          <w:sz w:val="24"/>
          <w:szCs w:val="24"/>
        </w:rPr>
      </w:pPr>
      <w:r>
        <w:rPr>
          <w:rFonts w:hint="eastAsia" w:ascii="仿宋" w:hAnsi="仿宋" w:eastAsia="仿宋" w:cs="仿宋"/>
          <w:b/>
          <w:bCs/>
          <w:color w:val="000000"/>
          <w:sz w:val="24"/>
          <w:szCs w:val="24"/>
        </w:rPr>
        <w:t>付款方式：</w:t>
      </w:r>
      <w:r>
        <w:rPr>
          <w:rFonts w:hint="eastAsia" w:ascii="仿宋" w:hAnsi="仿宋" w:eastAsia="仿宋" w:cs="仿宋"/>
          <w:color w:val="000000"/>
          <w:sz w:val="24"/>
          <w:szCs w:val="24"/>
        </w:rPr>
        <w:t>电汇。</w:t>
      </w:r>
    </w:p>
    <w:p>
      <w:pPr>
        <w:spacing w:line="360" w:lineRule="auto"/>
        <w:ind w:firstLine="482" w:firstLineChars="200"/>
        <w:jc w:val="left"/>
        <w:rPr>
          <w:rFonts w:hint="eastAsia" w:ascii="仿宋" w:hAnsi="仿宋" w:eastAsia="仿宋" w:cs="仿宋"/>
          <w:b/>
          <w:color w:val="000000"/>
          <w:sz w:val="24"/>
          <w:szCs w:val="24"/>
        </w:rPr>
      </w:pPr>
      <w:r>
        <w:rPr>
          <w:rFonts w:hint="eastAsia" w:ascii="仿宋" w:hAnsi="仿宋" w:eastAsia="仿宋" w:cs="仿宋"/>
          <w:b/>
          <w:color w:val="000000"/>
          <w:sz w:val="24"/>
          <w:szCs w:val="24"/>
        </w:rPr>
        <w:t>四、开票方式</w:t>
      </w:r>
    </w:p>
    <w:p>
      <w:pPr>
        <w:spacing w:line="360" w:lineRule="auto"/>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供应商在甲方付款后5个工作日内依照具体订单需求单位分别开具发票，发票内容与所供物资一致。设备采购订单开具增值税专用发票，维修服务开具普通发票。</w:t>
      </w:r>
    </w:p>
    <w:p>
      <w:pPr>
        <w:spacing w:line="360" w:lineRule="auto"/>
        <w:ind w:left="420" w:leftChars="200"/>
        <w:jc w:val="left"/>
        <w:rPr>
          <w:rFonts w:hint="eastAsia" w:ascii="仿宋" w:hAnsi="仿宋" w:eastAsia="仿宋" w:cs="仿宋"/>
          <w:color w:val="FF0000"/>
          <w:sz w:val="24"/>
          <w:szCs w:val="24"/>
        </w:rPr>
      </w:pPr>
    </w:p>
    <w:p>
      <w:pPr>
        <w:spacing w:line="360" w:lineRule="auto"/>
        <w:ind w:left="420" w:leftChars="200"/>
        <w:jc w:val="left"/>
        <w:rPr>
          <w:rFonts w:hint="eastAsia" w:ascii="仿宋" w:hAnsi="仿宋" w:eastAsia="仿宋" w:cs="仿宋"/>
          <w:color w:val="FF0000"/>
          <w:sz w:val="24"/>
          <w:szCs w:val="24"/>
        </w:rPr>
      </w:pPr>
      <w:r>
        <w:rPr>
          <w:rFonts w:hint="eastAsia" w:ascii="仿宋" w:hAnsi="仿宋" w:eastAsia="仿宋" w:cs="仿宋"/>
          <w:color w:val="FF0000"/>
          <w:sz w:val="24"/>
          <w:szCs w:val="24"/>
        </w:rPr>
        <w:t>注：投递标书的投标单位视为了解并同意以上方案，并承诺在合同期内按照此方案执行相关业务。</w:t>
      </w:r>
    </w:p>
    <w:p>
      <w:pPr>
        <w:spacing w:line="360" w:lineRule="auto"/>
        <w:ind w:firstLine="4800" w:firstLineChars="2000"/>
        <w:jc w:val="left"/>
        <w:rPr>
          <w:rFonts w:hint="eastAsia" w:ascii="仿宋" w:hAnsi="仿宋" w:eastAsia="仿宋" w:cs="仿宋"/>
          <w:color w:val="000000"/>
          <w:sz w:val="24"/>
          <w:szCs w:val="24"/>
        </w:rPr>
      </w:pPr>
    </w:p>
    <w:p>
      <w:pPr>
        <w:spacing w:line="360" w:lineRule="auto"/>
        <w:jc w:val="left"/>
        <w:rPr>
          <w:rFonts w:hint="eastAsia" w:ascii="仿宋" w:hAnsi="仿宋" w:eastAsia="仿宋" w:cs="仿宋"/>
          <w:color w:val="000000"/>
          <w:sz w:val="24"/>
          <w:szCs w:val="24"/>
        </w:rPr>
      </w:pPr>
    </w:p>
    <w:p>
      <w:pPr>
        <w:spacing w:line="360" w:lineRule="auto"/>
        <w:ind w:firstLine="4800" w:firstLineChars="2000"/>
        <w:jc w:val="left"/>
        <w:rPr>
          <w:rFonts w:hint="eastAsia" w:ascii="仿宋" w:hAnsi="仿宋" w:eastAsia="仿宋" w:cs="仿宋"/>
          <w:color w:val="000000"/>
          <w:sz w:val="24"/>
          <w:szCs w:val="24"/>
        </w:rPr>
      </w:pPr>
      <w:r>
        <w:rPr>
          <w:rFonts w:hint="eastAsia" w:ascii="仿宋" w:hAnsi="仿宋" w:eastAsia="仿宋" w:cs="仿宋"/>
          <w:color w:val="000000"/>
          <w:sz w:val="24"/>
          <w:szCs w:val="24"/>
        </w:rPr>
        <w:t>投标单位名称（盖章）：</w:t>
      </w:r>
    </w:p>
    <w:p>
      <w:pPr>
        <w:spacing w:line="360" w:lineRule="auto"/>
        <w:ind w:firstLine="4800" w:firstLineChars="2000"/>
        <w:jc w:val="lef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投标人授权代表姓名(签字)：  </w:t>
      </w:r>
    </w:p>
    <w:p>
      <w:pPr>
        <w:spacing w:line="360" w:lineRule="auto"/>
        <w:ind w:firstLine="4800" w:firstLineChars="2000"/>
        <w:jc w:val="lef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日期：        年   月   日              </w:t>
      </w:r>
    </w:p>
    <w:bookmarkEnd w:id="19"/>
    <w:p>
      <w:pPr>
        <w:adjustRightInd w:val="0"/>
        <w:snapToGrid w:val="0"/>
        <w:spacing w:line="440" w:lineRule="exact"/>
        <w:ind w:firstLine="240" w:firstLineChars="100"/>
        <w:outlineLvl w:val="0"/>
        <w:rPr>
          <w:rStyle w:val="20"/>
        </w:rPr>
      </w:pPr>
      <w:r>
        <w:rPr>
          <w:rFonts w:hint="eastAsia" w:ascii="仿宋" w:hAnsi="仿宋" w:eastAsia="仿宋" w:cs="仿宋"/>
          <w:color w:val="000000"/>
          <w:sz w:val="24"/>
        </w:rPr>
        <w:br w:type="page"/>
      </w:r>
      <w:bookmarkStart w:id="20" w:name="_Toc10015"/>
      <w:r>
        <w:rPr>
          <w:rStyle w:val="20"/>
          <w:rFonts w:hint="eastAsia"/>
        </w:rPr>
        <w:t>附件三</w:t>
      </w:r>
      <w:bookmarkEnd w:id="20"/>
    </w:p>
    <w:p>
      <w:pPr>
        <w:spacing w:line="520" w:lineRule="exact"/>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常用物资报价表</w:t>
      </w:r>
    </w:p>
    <w:p>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填写说明：</w:t>
      </w:r>
    </w:p>
    <w:p>
      <w:pPr>
        <w:numPr>
          <w:ilvl w:val="0"/>
          <w:numId w:val="5"/>
        </w:num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该报价表仅用于评估各投标单位的供货能力及参考价格，作为本次招标活动的评判依据之一，实际采购单价的确定以《附件二》所列方式执行；</w:t>
      </w:r>
    </w:p>
    <w:p>
      <w:pPr>
        <w:numPr>
          <w:ilvl w:val="0"/>
          <w:numId w:val="5"/>
        </w:num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“主供品牌”优先填写具备代理资质或库存充足的品牌，可填写多个；</w:t>
      </w:r>
    </w:p>
    <w:p>
      <w:pPr>
        <w:numPr>
          <w:ilvl w:val="0"/>
          <w:numId w:val="5"/>
        </w:numPr>
        <w:spacing w:line="360" w:lineRule="auto"/>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“单位”一栏标注为“/”的，代表询问投标单位是否具备该项物资或服务，投标单位若可提供该项物资或服务，则在“单价”一栏填写“具备”，否则填“否”；</w:t>
      </w:r>
    </w:p>
    <w:p>
      <w:pPr>
        <w:numPr>
          <w:ilvl w:val="0"/>
          <w:numId w:val="5"/>
        </w:numPr>
        <w:spacing w:line="360" w:lineRule="auto"/>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“常备库存”一列指的是该项所填主供品牌及规格型号物资对应的常备库存情况，如无库存则填“0”；</w:t>
      </w:r>
    </w:p>
    <w:p>
      <w:pPr>
        <w:numPr>
          <w:ilvl w:val="0"/>
          <w:numId w:val="5"/>
        </w:numPr>
        <w:spacing w:line="360" w:lineRule="auto"/>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“参考品牌”及“参考规格”非硬性要求，用相同或优于本招标文件要求的品牌或规格响应同样视为有效；</w:t>
      </w:r>
    </w:p>
    <w:p>
      <w:pPr>
        <w:numPr>
          <w:ilvl w:val="0"/>
          <w:numId w:val="5"/>
        </w:num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投标单位必须保证本表单填写的真实性；</w:t>
      </w:r>
    </w:p>
    <w:p>
      <w:pPr>
        <w:numPr>
          <w:ilvl w:val="0"/>
          <w:numId w:val="5"/>
        </w:num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报价表详见《附表1 投标报价表》。</w:t>
      </w:r>
    </w:p>
    <w:p>
      <w:pPr>
        <w:adjustRightInd w:val="0"/>
        <w:snapToGrid w:val="0"/>
        <w:spacing w:line="440" w:lineRule="exact"/>
        <w:ind w:firstLine="240" w:firstLineChars="100"/>
        <w:outlineLvl w:val="0"/>
        <w:rPr>
          <w:rFonts w:hint="eastAsia" w:ascii="仿宋" w:hAnsi="仿宋" w:eastAsia="仿宋" w:cs="仿宋"/>
          <w:color w:val="000000"/>
          <w:sz w:val="24"/>
          <w:szCs w:val="24"/>
        </w:rPr>
      </w:pPr>
      <w:r>
        <w:rPr>
          <w:rFonts w:hint="eastAsia" w:ascii="仿宋" w:hAnsi="仿宋" w:eastAsia="仿宋" w:cs="仿宋"/>
          <w:color w:val="000000"/>
          <w:sz w:val="24"/>
        </w:rPr>
        <w:br w:type="page"/>
      </w:r>
      <w:bookmarkStart w:id="21" w:name="_Toc22947"/>
      <w:r>
        <w:rPr>
          <w:rStyle w:val="20"/>
          <w:rFonts w:hint="eastAsia"/>
        </w:rPr>
        <w:t>附件四</w:t>
      </w:r>
      <w:bookmarkEnd w:id="21"/>
    </w:p>
    <w:p>
      <w:pPr>
        <w:spacing w:line="520" w:lineRule="exact"/>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法定代表人资格证书及授权委托书</w:t>
      </w:r>
    </w:p>
    <w:p>
      <w:pPr>
        <w:pStyle w:val="10"/>
        <w:spacing w:line="440" w:lineRule="exact"/>
        <w:jc w:val="center"/>
        <w:rPr>
          <w:rFonts w:hint="eastAsia" w:ascii="仿宋" w:hAnsi="仿宋" w:eastAsia="仿宋" w:cs="仿宋"/>
          <w:color w:val="000000"/>
          <w:sz w:val="32"/>
          <w:szCs w:val="32"/>
        </w:rPr>
      </w:pPr>
    </w:p>
    <w:p>
      <w:pPr>
        <w:pStyle w:val="10"/>
        <w:spacing w:line="440" w:lineRule="exact"/>
        <w:jc w:val="center"/>
        <w:rPr>
          <w:rFonts w:hint="eastAsia" w:ascii="仿宋" w:hAnsi="仿宋" w:eastAsia="仿宋" w:cs="仿宋"/>
          <w:color w:val="000000"/>
        </w:rPr>
      </w:pPr>
      <w:r>
        <w:rPr>
          <w:rFonts w:hint="eastAsia" w:ascii="仿宋" w:hAnsi="仿宋" w:eastAsia="仿宋" w:cs="仿宋"/>
          <w:color w:val="000000"/>
        </w:rPr>
        <w:t>法 定 代 表 人 资 格 书</w:t>
      </w:r>
    </w:p>
    <w:p>
      <w:pPr>
        <w:snapToGrid w:val="0"/>
        <w:spacing w:line="640" w:lineRule="exact"/>
        <w:rPr>
          <w:rFonts w:hint="eastAsia" w:ascii="仿宋" w:hAnsi="仿宋" w:eastAsia="仿宋" w:cs="仿宋"/>
          <w:color w:val="000000"/>
          <w:sz w:val="24"/>
        </w:rPr>
      </w:pPr>
      <w:r>
        <w:rPr>
          <w:rFonts w:hint="eastAsia" w:ascii="仿宋" w:hAnsi="仿宋" w:eastAsia="仿宋" w:cs="仿宋"/>
          <w:color w:val="000000"/>
          <w:sz w:val="24"/>
        </w:rPr>
        <w:t>致</w:t>
      </w:r>
      <w:r>
        <w:rPr>
          <w:rFonts w:hint="eastAsia" w:ascii="仿宋" w:hAnsi="仿宋" w:eastAsia="仿宋" w:cs="仿宋"/>
          <w:color w:val="000000"/>
          <w:sz w:val="24"/>
          <w:szCs w:val="24"/>
        </w:rPr>
        <w:t>南南铝业股份有限公司</w:t>
      </w:r>
      <w:r>
        <w:rPr>
          <w:rFonts w:hint="eastAsia" w:ascii="仿宋" w:hAnsi="仿宋" w:eastAsia="仿宋" w:cs="仿宋"/>
          <w:color w:val="000000"/>
          <w:sz w:val="24"/>
        </w:rPr>
        <w:t>：</w:t>
      </w:r>
    </w:p>
    <w:p>
      <w:pPr>
        <w:snapToGrid w:val="0"/>
        <w:spacing w:line="640" w:lineRule="exact"/>
        <w:rPr>
          <w:rFonts w:hint="eastAsia" w:ascii="仿宋" w:hAnsi="仿宋" w:eastAsia="仿宋" w:cs="仿宋"/>
          <w:color w:val="000000"/>
          <w:sz w:val="24"/>
        </w:rPr>
      </w:pPr>
      <w:r>
        <w:rPr>
          <w:rFonts w:hint="eastAsia" w:ascii="仿宋" w:hAnsi="仿宋" w:eastAsia="仿宋" w:cs="仿宋"/>
          <w:color w:val="000000"/>
          <w:sz w:val="24"/>
        </w:rPr>
        <w:t>姓名：</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性别：</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 xml:space="preserve"> 出生日期：</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 xml:space="preserve"> 职务：</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 xml:space="preserve">             </w:t>
      </w:r>
    </w:p>
    <w:p>
      <w:pPr>
        <w:snapToGrid w:val="0"/>
        <w:spacing w:line="640" w:lineRule="exact"/>
        <w:rPr>
          <w:rFonts w:hint="eastAsia" w:ascii="仿宋" w:hAnsi="仿宋" w:eastAsia="仿宋" w:cs="仿宋"/>
          <w:color w:val="000000"/>
          <w:sz w:val="24"/>
        </w:rPr>
      </w:pPr>
      <w:r>
        <w:rPr>
          <w:rFonts w:hint="eastAsia" w:ascii="仿宋" w:hAnsi="仿宋" w:eastAsia="仿宋" w:cs="仿宋"/>
          <w:color w:val="000000"/>
          <w:sz w:val="24"/>
        </w:rPr>
        <w:t>系</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（投标人名称）的法定代表人。</w:t>
      </w:r>
    </w:p>
    <w:p>
      <w:pPr>
        <w:snapToGrid w:val="0"/>
        <w:spacing w:line="640" w:lineRule="exact"/>
        <w:rPr>
          <w:rFonts w:hint="eastAsia" w:ascii="仿宋" w:hAnsi="仿宋" w:eastAsia="仿宋" w:cs="仿宋"/>
          <w:color w:val="000000"/>
          <w:sz w:val="24"/>
          <w:u w:val="single"/>
        </w:rPr>
      </w:pPr>
      <w:r>
        <w:rPr>
          <w:rFonts w:hint="eastAsia" w:ascii="仿宋" w:hAnsi="仿宋" w:eastAsia="仿宋" w:cs="仿宋"/>
          <w:color w:val="000000"/>
          <w:sz w:val="24"/>
        </w:rPr>
        <w:t>特此证明。</w:t>
      </w:r>
    </w:p>
    <w:p>
      <w:pPr>
        <w:ind w:firstLine="397"/>
        <w:rPr>
          <w:rFonts w:hint="eastAsia" w:ascii="仿宋" w:hAnsi="仿宋" w:eastAsia="仿宋" w:cs="仿宋"/>
          <w:color w:val="000000"/>
          <w:sz w:val="24"/>
        </w:rPr>
      </w:pPr>
    </w:p>
    <w:p>
      <w:pPr>
        <w:ind w:firstLine="397"/>
        <w:rPr>
          <w:rFonts w:hint="eastAsia" w:ascii="仿宋" w:hAnsi="仿宋" w:eastAsia="仿宋" w:cs="仿宋"/>
          <w:color w:val="000000"/>
          <w:sz w:val="24"/>
        </w:rPr>
      </w:pPr>
    </w:p>
    <w:p>
      <w:pPr>
        <w:snapToGrid w:val="0"/>
        <w:spacing w:line="300" w:lineRule="auto"/>
        <w:jc w:val="center"/>
        <w:rPr>
          <w:rFonts w:hint="eastAsia" w:ascii="仿宋" w:hAnsi="仿宋" w:eastAsia="仿宋" w:cs="仿宋"/>
          <w:color w:val="000000"/>
          <w:sz w:val="24"/>
        </w:rPr>
      </w:pPr>
      <w:r>
        <w:rPr>
          <w:rFonts w:hint="eastAsia" w:ascii="仿宋" w:hAnsi="仿宋" w:eastAsia="仿宋" w:cs="仿宋"/>
          <w:color w:val="000000"/>
          <w:sz w:val="24"/>
        </w:rPr>
        <w:t>授 权 委 托 书</w:t>
      </w:r>
    </w:p>
    <w:p>
      <w:pPr>
        <w:snapToGrid w:val="0"/>
        <w:spacing w:line="600" w:lineRule="exact"/>
        <w:ind w:firstLine="555"/>
        <w:rPr>
          <w:rFonts w:hint="eastAsia" w:ascii="仿宋" w:hAnsi="仿宋" w:eastAsia="仿宋" w:cs="仿宋"/>
          <w:color w:val="000000"/>
          <w:sz w:val="24"/>
        </w:rPr>
      </w:pPr>
      <w:r>
        <w:rPr>
          <w:rFonts w:hint="eastAsia" w:ascii="仿宋" w:hAnsi="仿宋" w:eastAsia="仿宋" w:cs="仿宋"/>
          <w:color w:val="000000"/>
          <w:sz w:val="24"/>
        </w:rPr>
        <w:t>授权委托书声明：本人</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（姓名）系</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（投标人名称）的法定代表人，现授权委托</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（单位名称）的</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（姓名）为我公司代理人，参加（招标人）</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的项目投标活动。代理人在投标、开标、评标谈判过程中签署的所有文件和处理与之有关的一切事务，我均于承认。</w:t>
      </w:r>
    </w:p>
    <w:p>
      <w:pPr>
        <w:snapToGrid w:val="0"/>
        <w:spacing w:line="600" w:lineRule="exact"/>
        <w:ind w:firstLine="555"/>
        <w:rPr>
          <w:rFonts w:hint="eastAsia" w:ascii="仿宋" w:hAnsi="仿宋" w:eastAsia="仿宋" w:cs="仿宋"/>
          <w:color w:val="000000"/>
          <w:sz w:val="24"/>
        </w:rPr>
      </w:pPr>
      <w:r>
        <w:rPr>
          <w:rFonts w:hint="eastAsia" w:ascii="仿宋" w:hAnsi="仿宋" w:eastAsia="仿宋" w:cs="仿宋"/>
          <w:color w:val="000000"/>
          <w:sz w:val="24"/>
        </w:rPr>
        <w:t>代理人无转委托权。特此委托。</w:t>
      </w:r>
    </w:p>
    <w:p>
      <w:pPr>
        <w:snapToGrid w:val="0"/>
        <w:spacing w:line="600" w:lineRule="exact"/>
        <w:rPr>
          <w:rFonts w:hint="eastAsia" w:ascii="仿宋" w:hAnsi="仿宋" w:eastAsia="仿宋" w:cs="仿宋"/>
          <w:color w:val="000000"/>
          <w:sz w:val="24"/>
        </w:rPr>
      </w:pPr>
      <w:r>
        <w:rPr>
          <w:rFonts w:hint="eastAsia" w:ascii="仿宋" w:hAnsi="仿宋" w:eastAsia="仿宋" w:cs="仿宋"/>
          <w:color w:val="000000"/>
          <w:sz w:val="24"/>
        </w:rPr>
        <w:t>代理人：               性别：              出生日期：</w:t>
      </w:r>
    </w:p>
    <w:p>
      <w:pPr>
        <w:snapToGrid w:val="0"/>
        <w:spacing w:line="600" w:lineRule="exact"/>
        <w:rPr>
          <w:rFonts w:hint="eastAsia" w:ascii="仿宋" w:hAnsi="仿宋" w:eastAsia="仿宋" w:cs="仿宋"/>
          <w:color w:val="000000"/>
          <w:sz w:val="24"/>
        </w:rPr>
      </w:pPr>
      <w:r>
        <w:rPr>
          <w:rFonts w:hint="eastAsia" w:ascii="仿宋" w:hAnsi="仿宋" w:eastAsia="仿宋" w:cs="仿宋"/>
          <w:color w:val="000000"/>
          <w:sz w:val="24"/>
        </w:rPr>
        <w:t>单位：                 部门：              职    务：</w:t>
      </w:r>
    </w:p>
    <w:p>
      <w:pPr>
        <w:snapToGrid w:val="0"/>
        <w:spacing w:line="600" w:lineRule="exact"/>
        <w:rPr>
          <w:rFonts w:hint="eastAsia" w:ascii="仿宋" w:hAnsi="仿宋" w:eastAsia="仿宋" w:cs="仿宋"/>
          <w:color w:val="000000"/>
          <w:sz w:val="24"/>
        </w:rPr>
      </w:pPr>
      <w:r>
        <w:rPr>
          <w:rFonts w:hint="eastAsia" w:ascii="仿宋" w:hAnsi="仿宋" w:eastAsia="仿宋" w:cs="仿宋"/>
          <w:color w:val="000000"/>
          <w:sz w:val="24"/>
        </w:rPr>
        <w:t>联系方式：</w:t>
      </w:r>
    </w:p>
    <w:p>
      <w:pPr>
        <w:snapToGrid w:val="0"/>
        <w:spacing w:line="600" w:lineRule="exact"/>
        <w:rPr>
          <w:rFonts w:hint="eastAsia" w:ascii="仿宋" w:hAnsi="仿宋" w:eastAsia="仿宋" w:cs="仿宋"/>
          <w:color w:val="000000"/>
          <w:sz w:val="24"/>
        </w:rPr>
      </w:pPr>
      <w:r>
        <w:rPr>
          <w:rFonts w:hint="eastAsia" w:ascii="仿宋" w:hAnsi="仿宋" w:eastAsia="仿宋" w:cs="仿宋"/>
          <w:color w:val="000000"/>
          <w:sz w:val="24"/>
        </w:rPr>
        <w:t>身份证号码：</w:t>
      </w:r>
    </w:p>
    <w:p>
      <w:pPr>
        <w:snapToGrid w:val="0"/>
        <w:spacing w:line="360" w:lineRule="auto"/>
        <w:jc w:val="left"/>
        <w:rPr>
          <w:rFonts w:hint="eastAsia" w:ascii="仿宋" w:hAnsi="仿宋" w:eastAsia="仿宋" w:cs="仿宋"/>
          <w:color w:val="000000"/>
          <w:sz w:val="24"/>
        </w:rPr>
      </w:pPr>
      <w:r>
        <w:rPr>
          <w:rFonts w:hint="eastAsia" w:ascii="仿宋" w:hAnsi="仿宋" w:eastAsia="仿宋" w:cs="仿宋"/>
          <w:color w:val="000000"/>
          <w:sz w:val="24"/>
        </w:rPr>
        <w:t>（后附委托人及受托人身份证复印件）</w:t>
      </w:r>
    </w:p>
    <w:p>
      <w:pPr>
        <w:snapToGrid w:val="0"/>
        <w:spacing w:line="360" w:lineRule="auto"/>
        <w:ind w:firstLine="4320" w:firstLineChars="1800"/>
        <w:rPr>
          <w:rFonts w:hint="eastAsia" w:ascii="仿宋" w:hAnsi="仿宋" w:eastAsia="仿宋" w:cs="仿宋"/>
          <w:color w:val="000000"/>
          <w:sz w:val="24"/>
        </w:rPr>
      </w:pPr>
      <w:r>
        <w:rPr>
          <w:rFonts w:hint="eastAsia" w:ascii="仿宋" w:hAnsi="仿宋" w:eastAsia="仿宋" w:cs="仿宋"/>
          <w:color w:val="000000"/>
          <w:sz w:val="24"/>
        </w:rPr>
        <w:t>投  标  人：（盖章）</w:t>
      </w:r>
    </w:p>
    <w:p>
      <w:pPr>
        <w:snapToGrid w:val="0"/>
        <w:spacing w:line="360" w:lineRule="auto"/>
        <w:ind w:firstLine="4320" w:firstLineChars="1800"/>
        <w:rPr>
          <w:rFonts w:hint="eastAsia" w:ascii="仿宋" w:hAnsi="仿宋" w:eastAsia="仿宋" w:cs="仿宋"/>
          <w:color w:val="000000"/>
          <w:sz w:val="24"/>
        </w:rPr>
      </w:pPr>
      <w:r>
        <w:rPr>
          <w:rFonts w:hint="eastAsia" w:ascii="仿宋" w:hAnsi="仿宋" w:eastAsia="仿宋" w:cs="仿宋"/>
          <w:color w:val="000000"/>
          <w:sz w:val="24"/>
        </w:rPr>
        <w:t>法定代表人：（签字盖章）</w:t>
      </w:r>
    </w:p>
    <w:p>
      <w:pPr>
        <w:snapToGrid w:val="0"/>
        <w:spacing w:line="360" w:lineRule="auto"/>
        <w:ind w:firstLine="4320" w:firstLineChars="1800"/>
        <w:rPr>
          <w:rFonts w:hint="eastAsia" w:ascii="仿宋" w:hAnsi="仿宋" w:eastAsia="仿宋" w:cs="仿宋"/>
          <w:color w:val="000000"/>
          <w:sz w:val="24"/>
        </w:rPr>
      </w:pPr>
      <w:r>
        <w:rPr>
          <w:rFonts w:hint="eastAsia" w:ascii="仿宋" w:hAnsi="仿宋" w:eastAsia="仿宋" w:cs="仿宋"/>
          <w:color w:val="000000"/>
          <w:sz w:val="24"/>
          <w:szCs w:val="24"/>
        </w:rPr>
        <w:t xml:space="preserve">日期：        年   月   日   </w:t>
      </w:r>
    </w:p>
    <w:p>
      <w:pPr>
        <w:snapToGrid w:val="0"/>
        <w:spacing w:line="360" w:lineRule="auto"/>
        <w:rPr>
          <w:rFonts w:hint="eastAsia" w:ascii="仿宋" w:hAnsi="仿宋" w:eastAsia="仿宋" w:cs="仿宋"/>
          <w:b/>
          <w:color w:val="000000"/>
          <w:sz w:val="28"/>
          <w:szCs w:val="28"/>
        </w:rPr>
      </w:pPr>
    </w:p>
    <w:p>
      <w:pPr>
        <w:snapToGrid w:val="0"/>
        <w:spacing w:line="360" w:lineRule="auto"/>
        <w:rPr>
          <w:rFonts w:hint="eastAsia" w:ascii="仿宋" w:hAnsi="仿宋" w:eastAsia="仿宋" w:cs="仿宋"/>
          <w:b/>
          <w:color w:val="000000"/>
          <w:sz w:val="28"/>
          <w:szCs w:val="28"/>
        </w:rPr>
      </w:pPr>
    </w:p>
    <w:p>
      <w:pPr>
        <w:spacing w:line="520" w:lineRule="exact"/>
        <w:outlineLvl w:val="0"/>
        <w:rPr>
          <w:rStyle w:val="20"/>
          <w:rFonts w:hint="eastAsia"/>
          <w:b w:val="0"/>
        </w:rPr>
      </w:pPr>
      <w:bookmarkStart w:id="22" w:name="_Toc7404"/>
      <w:r>
        <w:rPr>
          <w:rStyle w:val="20"/>
          <w:rFonts w:hint="eastAsia"/>
        </w:rPr>
        <w:t>附件五</w:t>
      </w:r>
      <w:bookmarkEnd w:id="22"/>
    </w:p>
    <w:p>
      <w:pPr>
        <w:snapToGrid w:val="0"/>
        <w:spacing w:line="360" w:lineRule="auto"/>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资质证明文件</w:t>
      </w:r>
    </w:p>
    <w:p>
      <w:pPr>
        <w:rPr>
          <w:rFonts w:hint="eastAsia" w:ascii="仿宋" w:hAnsi="仿宋" w:eastAsia="仿宋" w:cs="仿宋"/>
          <w:b/>
          <w:color w:val="000000"/>
          <w:sz w:val="24"/>
          <w:szCs w:val="24"/>
        </w:rPr>
      </w:pPr>
      <w:r>
        <w:rPr>
          <w:rFonts w:hint="eastAsia" w:ascii="仿宋" w:hAnsi="仿宋" w:eastAsia="仿宋" w:cs="仿宋"/>
          <w:b/>
          <w:color w:val="000000"/>
          <w:sz w:val="24"/>
          <w:szCs w:val="24"/>
        </w:rPr>
        <w:t>含以下文件：</w:t>
      </w:r>
    </w:p>
    <w:p>
      <w:pPr>
        <w:spacing w:line="520" w:lineRule="exact"/>
        <w:rPr>
          <w:rFonts w:hint="eastAsia" w:ascii="仿宋" w:hAnsi="仿宋" w:eastAsia="仿宋" w:cs="仿宋"/>
          <w:color w:val="000000"/>
          <w:sz w:val="24"/>
          <w:szCs w:val="24"/>
        </w:rPr>
      </w:pPr>
      <w:r>
        <w:rPr>
          <w:rFonts w:hint="eastAsia" w:ascii="仿宋" w:hAnsi="仿宋" w:eastAsia="仿宋" w:cs="仿宋"/>
          <w:color w:val="000000"/>
          <w:sz w:val="24"/>
          <w:szCs w:val="24"/>
        </w:rPr>
        <w:t>a.营业执照、税务登记证及组织机构代码证</w:t>
      </w:r>
    </w:p>
    <w:p>
      <w:pPr>
        <w:spacing w:line="520" w:lineRule="exact"/>
        <w:rPr>
          <w:rFonts w:hint="eastAsia" w:ascii="仿宋" w:hAnsi="仿宋" w:eastAsia="仿宋" w:cs="仿宋"/>
          <w:color w:val="000000"/>
          <w:sz w:val="24"/>
          <w:szCs w:val="24"/>
        </w:rPr>
      </w:pPr>
      <w:r>
        <w:rPr>
          <w:rFonts w:hint="eastAsia" w:ascii="仿宋" w:hAnsi="仿宋" w:eastAsia="仿宋" w:cs="仿宋"/>
          <w:color w:val="000000"/>
          <w:sz w:val="24"/>
          <w:szCs w:val="24"/>
        </w:rPr>
        <w:t>b.投标方资信等级证明；</w:t>
      </w:r>
    </w:p>
    <w:p>
      <w:pPr>
        <w:spacing w:line="520" w:lineRule="exact"/>
        <w:rPr>
          <w:rFonts w:hint="eastAsia" w:ascii="仿宋" w:hAnsi="仿宋" w:eastAsia="仿宋" w:cs="仿宋"/>
          <w:color w:val="000000"/>
          <w:sz w:val="24"/>
          <w:szCs w:val="24"/>
        </w:rPr>
      </w:pPr>
      <w:r>
        <w:rPr>
          <w:rFonts w:hint="eastAsia" w:ascii="仿宋" w:hAnsi="仿宋" w:eastAsia="仿宋" w:cs="仿宋"/>
          <w:color w:val="000000"/>
          <w:sz w:val="24"/>
          <w:szCs w:val="24"/>
        </w:rPr>
        <w:t>c.品牌代理资质证明（如有）；</w:t>
      </w:r>
    </w:p>
    <w:p>
      <w:pPr>
        <w:spacing w:line="520" w:lineRule="exact"/>
        <w:rPr>
          <w:rFonts w:hint="eastAsia" w:ascii="仿宋" w:hAnsi="仿宋" w:eastAsia="仿宋" w:cs="仿宋"/>
          <w:color w:val="000000"/>
          <w:sz w:val="24"/>
          <w:szCs w:val="24"/>
        </w:rPr>
      </w:pPr>
      <w:r>
        <w:rPr>
          <w:rFonts w:hint="eastAsia" w:ascii="仿宋" w:hAnsi="仿宋" w:eastAsia="仿宋" w:cs="仿宋"/>
          <w:color w:val="000000"/>
          <w:sz w:val="24"/>
          <w:szCs w:val="24"/>
        </w:rPr>
        <w:t>d.及其他可以提供的资质证明文件；</w:t>
      </w:r>
    </w:p>
    <w:p>
      <w:pPr>
        <w:spacing w:line="500" w:lineRule="exact"/>
        <w:ind w:right="560"/>
        <w:rPr>
          <w:rFonts w:hint="eastAsia" w:ascii="仿宋" w:hAnsi="仿宋" w:eastAsia="仿宋" w:cs="仿宋"/>
          <w:b/>
          <w:color w:val="000000"/>
          <w:sz w:val="28"/>
          <w:szCs w:val="28"/>
        </w:rPr>
      </w:pPr>
    </w:p>
    <w:p>
      <w:pPr>
        <w:spacing w:line="520" w:lineRule="exact"/>
        <w:outlineLvl w:val="0"/>
        <w:rPr>
          <w:rStyle w:val="20"/>
          <w:rFonts w:hint="eastAsia"/>
        </w:rPr>
      </w:pPr>
      <w:r>
        <w:rPr>
          <w:rStyle w:val="20"/>
          <w:rFonts w:hint="eastAsia"/>
        </w:rPr>
        <w:br w:type="page"/>
      </w:r>
      <w:bookmarkStart w:id="23" w:name="_Toc3456"/>
      <w:r>
        <w:rPr>
          <w:rStyle w:val="20"/>
          <w:rFonts w:hint="eastAsia"/>
        </w:rPr>
        <w:t>附件六</w:t>
      </w:r>
      <w:bookmarkEnd w:id="23"/>
    </w:p>
    <w:p>
      <w:pPr>
        <w:spacing w:line="520" w:lineRule="exact"/>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投标人近三年业绩表</w:t>
      </w:r>
    </w:p>
    <w:p>
      <w:pPr>
        <w:adjustRightInd w:val="0"/>
        <w:snapToGrid w:val="0"/>
        <w:spacing w:line="440" w:lineRule="exact"/>
        <w:ind w:firstLine="240" w:firstLineChars="100"/>
        <w:rPr>
          <w:rFonts w:hint="eastAsia" w:ascii="仿宋" w:hAnsi="仿宋" w:eastAsia="仿宋" w:cs="仿宋"/>
          <w:color w:val="000000"/>
          <w:sz w:val="24"/>
        </w:rPr>
      </w:pPr>
      <w:r>
        <w:rPr>
          <w:rFonts w:hint="eastAsia" w:ascii="仿宋" w:hAnsi="仿宋" w:eastAsia="仿宋" w:cs="仿宋"/>
          <w:color w:val="000000"/>
          <w:sz w:val="24"/>
        </w:rPr>
        <w:t>请列举近三年的主要业绩和相关证明材料，证明材料包括但不限于：中标通知书、合同文件、所获得的荣誉证明、客户评价等。</w:t>
      </w:r>
    </w:p>
    <w:p>
      <w:pPr>
        <w:adjustRightInd w:val="0"/>
        <w:snapToGrid w:val="0"/>
        <w:spacing w:line="440" w:lineRule="exact"/>
        <w:ind w:firstLine="240" w:firstLineChars="100"/>
        <w:rPr>
          <w:rFonts w:hint="eastAsia" w:ascii="仿宋" w:hAnsi="仿宋" w:eastAsia="仿宋" w:cs="仿宋"/>
          <w:color w:val="000000"/>
          <w:sz w:val="24"/>
        </w:rPr>
      </w:pPr>
    </w:p>
    <w:sectPr>
      <w:headerReference r:id="rId3" w:type="default"/>
      <w:footerReference r:id="rId4" w:type="default"/>
      <w:pgSz w:w="11906" w:h="16838"/>
      <w:pgMar w:top="1440" w:right="1418"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rPr>
                            <w:t>13</w:t>
                          </w:r>
                          <w:r>
                            <w:rPr>
                              <w:rFonts w:hint="eastAsia"/>
                              <w:sz w:val="18"/>
                            </w:rPr>
                            <w:fldChar w:fldCharType="end"/>
                          </w:r>
                          <w:r>
                            <w:rPr>
                              <w:rFonts w:hint="eastAsia"/>
                              <w:sz w:val="18"/>
                            </w:rPr>
                            <w:t xml:space="preserve"> 页 共 20 页</w:t>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9Kf18kBAACZ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z0p/X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rPr>
                      <w:t>13</w:t>
                    </w:r>
                    <w:r>
                      <w:rPr>
                        <w:rFonts w:hint="eastAsia"/>
                        <w:sz w:val="18"/>
                      </w:rPr>
                      <w:fldChar w:fldCharType="end"/>
                    </w:r>
                    <w:r>
                      <w:rPr>
                        <w:rFonts w:hint="eastAsia"/>
                        <w:sz w:val="18"/>
                      </w:rPr>
                      <w:t xml:space="preserve"> 页 共 20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6"/>
      </w:pBdr>
      <w:jc w:val="left"/>
    </w:pPr>
    <w:r>
      <w:drawing>
        <wp:inline distT="0" distB="0" distL="114300" distR="114300">
          <wp:extent cx="575945" cy="184150"/>
          <wp:effectExtent l="0" t="0" r="5080" b="6350"/>
          <wp:docPr id="3" name="图片 3" descr="南铝标志横式组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南铝标志横式组合"/>
                  <pic:cNvPicPr>
                    <a:picLocks noChangeAspect="1"/>
                  </pic:cNvPicPr>
                </pic:nvPicPr>
                <pic:blipFill>
                  <a:blip r:embed="rId1"/>
                  <a:stretch>
                    <a:fillRect/>
                  </a:stretch>
                </pic:blipFill>
                <pic:spPr>
                  <a:xfrm>
                    <a:off x="0" y="0"/>
                    <a:ext cx="575945" cy="184150"/>
                  </a:xfrm>
                  <a:prstGeom prst="rect">
                    <a:avLst/>
                  </a:prstGeom>
                  <a:noFill/>
                  <a:ln>
                    <a:noFill/>
                  </a:ln>
                </pic:spPr>
              </pic:pic>
            </a:graphicData>
          </a:graphic>
        </wp:inline>
      </w:drawing>
    </w:r>
    <w:r>
      <w:rPr>
        <w:rFonts w:hint="eastAsia"/>
      </w:rPr>
      <w:t xml:space="preserve"> 南南铝业股份有限公司  Alnan Aluminium Co.,ltd. 地址 ：广西南宁市邕宁区良信路6号  邮编:530</w:t>
    </w:r>
    <w:r>
      <w:rPr>
        <w:lang/>
      </w:rPr>
      <mc:AlternateContent>
        <mc:Choice Requires="wps">
          <w:drawing>
            <wp:anchor distT="0" distB="0" distL="114300" distR="114300" simplePos="0" relativeHeight="251659264" behindDoc="0" locked="0" layoutInCell="1" allowOverlap="1">
              <wp:simplePos x="0" y="0"/>
              <wp:positionH relativeFrom="column">
                <wp:posOffset>22860</wp:posOffset>
              </wp:positionH>
              <wp:positionV relativeFrom="paragraph">
                <wp:posOffset>297815</wp:posOffset>
              </wp:positionV>
              <wp:extent cx="5232400" cy="0"/>
              <wp:effectExtent l="0" t="4445" r="6350" b="5080"/>
              <wp:wrapNone/>
              <wp:docPr id="1" name="直接连接符 2"/>
              <wp:cNvGraphicFramePr/>
              <a:graphic xmlns:a="http://schemas.openxmlformats.org/drawingml/2006/main">
                <a:graphicData uri="http://schemas.microsoft.com/office/word/2010/wordprocessingShape">
                  <wps:wsp>
                    <wps:cNvSpPr/>
                    <wps:spPr>
                      <a:xfrm>
                        <a:off x="0" y="0"/>
                        <a:ext cx="5232400" cy="0"/>
                      </a:xfrm>
                      <a:prstGeom prst="line">
                        <a:avLst/>
                      </a:prstGeom>
                      <a:ln w="9525" cap="flat" cmpd="sng">
                        <a:solidFill>
                          <a:srgbClr val="404040"/>
                        </a:solidFill>
                        <a:prstDash val="dash"/>
                        <a:headEnd type="none" w="med" len="med"/>
                        <a:tailEnd type="none" w="med" len="med"/>
                      </a:ln>
                    </wps:spPr>
                    <wps:bodyPr upright="1"/>
                  </wps:wsp>
                </a:graphicData>
              </a:graphic>
            </wp:anchor>
          </w:drawing>
        </mc:Choice>
        <mc:Fallback>
          <w:pict>
            <v:line id="直接连接符 2" o:spid="_x0000_s1026" o:spt="20" style="position:absolute;left:0pt;margin-left:1.8pt;margin-top:23.45pt;height:0pt;width:412pt;z-index:251659264;mso-width-relative:page;mso-height-relative:page;" filled="f" stroked="t" coordsize="21600,21600" o:gfxdata="UEsDBAoAAAAAAIdO4kAAAAAAAAAAAAAAAAAEAAAAZHJzL1BLAwQUAAAACACHTuJAn9va49QAAAAH&#10;AQAADwAAAGRycy9kb3ducmV2LnhtbE2Oy07DMBBF90j8gzWV2FG7JUpLiNMFL4lNq7awd+MhSRuP&#10;Q+z08fcMYgHL+9C9J1+cXSuO2IfGk4bJWIFAKr1tqNLwvn25nYMI0ZA1rSfUcMEAi+L6KjeZ9Sda&#10;43ETK8EjFDKjoY6xy6QMZY3OhLHvkDj79L0zkWVfSdubE4+7Vk6VSqUzDfFDbTp8rLE8bAan4fXS&#10;Dc/JcimTr+rDHd5WT1up9lrfjCbqAUTEc/wrww8+o0PBTDs/kA2i1XCXclFDkt6D4Hg+nbGx+zVk&#10;kcv//MU3UEsDBBQAAAAIAIdO4kA55hui9QEAAOMDAAAOAAAAZHJzL2Uyb0RvYy54bWytU82O0zAQ&#10;viPxDpbvNGnYIoia7oGyXBCstPAAU9tJLPlPHrdpX4IXQOIGJ47ceRuWx2CcdLuwXHpAkZyxZ/zN&#10;fN+Ml5d7a9hORdTeNXw+KzlTTnipXdfwD++vnjznDBM4CcY71fCDQn65evxoOYRaVb73RqrICMRh&#10;PYSG9ymFuihQ9MoCznxQjpytjxYSbWNXyAgDoVtTVGX5rBh8lCF6oRDpdD05+RExngPo21YLtfZi&#10;a5VLE2pUBhJRwl4H5Kux2rZVIr1rW1SJmYYT0zSulITsTV6L1RLqLkLotTiWAOeU8ICTBe0o6Qlq&#10;DQnYNup/oKwW0aNv00x4W0xERkWIxbx8oM1ND0GNXEhqDCfR8f/Bire768i0pEngzIGlht9++v7z&#10;45dfPz7TevvtK6uySEPAmmJvwnU87pDMzHjfRpv/xIXtR2EPJ2HVPjFBh4vqaXVRkubizlfcXwwR&#10;02vlLctGw412mTPUsHuDiZJR6F1IPjaODQ1/sagWBAc0gC01nkwbiAS6bryL3mh5pY3JNzB2m5cm&#10;sh3QEFyU+cuUCPevsJxkDdhPcZKsaTp6BfKVkywdAqnj6FHwXIFVkjOj6A1li/CgTqDNOZGU2Tgq&#10;IIs6yZitjZcH6sU2RN31JMR8LDJ7qPdjucc5zcP1535Eun+b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29rj1AAAAAcBAAAPAAAAAAAAAAEAIAAAACIAAABkcnMvZG93bnJldi54bWxQSwECFAAU&#10;AAAACACHTuJAOeYbovUBAADjAwAADgAAAAAAAAABACAAAAAjAQAAZHJzL2Uyb0RvYy54bWxQSwUG&#10;AAAAAAYABgBZAQAAigUAAAAA&#10;">
              <v:fill on="f" focussize="0,0"/>
              <v:stroke color="#404040" joinstyle="round" dashstyle="dash"/>
              <v:imagedata o:title=""/>
              <o:lock v:ext="edit" aspectratio="f"/>
            </v:line>
          </w:pict>
        </mc:Fallback>
      </mc:AlternateContent>
    </w:r>
    <w:r>
      <w:rPr>
        <w:rFonts w:hint="eastAsia"/>
      </w:rPr>
      <w:t>299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79978D"/>
    <w:multiLevelType w:val="singleLevel"/>
    <w:tmpl w:val="0579978D"/>
    <w:lvl w:ilvl="0" w:tentative="0">
      <w:start w:val="1"/>
      <w:numFmt w:val="decimal"/>
      <w:lvlText w:val="%1."/>
      <w:lvlJc w:val="left"/>
      <w:pPr>
        <w:tabs>
          <w:tab w:val="left" w:pos="312"/>
        </w:tabs>
      </w:pPr>
    </w:lvl>
  </w:abstractNum>
  <w:abstractNum w:abstractNumId="1">
    <w:nsid w:val="408E3900"/>
    <w:multiLevelType w:val="multilevel"/>
    <w:tmpl w:val="408E3900"/>
    <w:lvl w:ilvl="0" w:tentative="0">
      <w:start w:val="2"/>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A5EA4D4"/>
    <w:multiLevelType w:val="singleLevel"/>
    <w:tmpl w:val="5A5EA4D4"/>
    <w:lvl w:ilvl="0" w:tentative="0">
      <w:start w:val="1"/>
      <w:numFmt w:val="chineseCounting"/>
      <w:suff w:val="nothing"/>
      <w:lvlText w:val="（%1）"/>
      <w:lvlJc w:val="left"/>
    </w:lvl>
  </w:abstractNum>
  <w:abstractNum w:abstractNumId="3">
    <w:nsid w:val="5A5EA4E9"/>
    <w:multiLevelType w:val="singleLevel"/>
    <w:tmpl w:val="5A5EA4E9"/>
    <w:lvl w:ilvl="0" w:tentative="0">
      <w:start w:val="1"/>
      <w:numFmt w:val="decimal"/>
      <w:suff w:val="nothing"/>
      <w:lvlText w:val="%1、"/>
      <w:lvlJc w:val="left"/>
    </w:lvl>
  </w:abstractNum>
  <w:abstractNum w:abstractNumId="4">
    <w:nsid w:val="5A5EA520"/>
    <w:multiLevelType w:val="singleLevel"/>
    <w:tmpl w:val="5A5EA520"/>
    <w:lvl w:ilvl="0" w:tentative="0">
      <w:start w:val="2"/>
      <w:numFmt w:val="chineseCounting"/>
      <w:suff w:val="nothing"/>
      <w:lvlText w:val="（%1）"/>
      <w:lvlJc w:val="left"/>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4NzJjMGRhMzFmNmRiYmY4YjM0NjY1M2YxZDM2YWEifQ=="/>
  </w:docVars>
  <w:rsids>
    <w:rsidRoot w:val="00172A27"/>
    <w:rsid w:val="00002736"/>
    <w:rsid w:val="0000560D"/>
    <w:rsid w:val="0001714E"/>
    <w:rsid w:val="00024468"/>
    <w:rsid w:val="00034B08"/>
    <w:rsid w:val="00037601"/>
    <w:rsid w:val="00050599"/>
    <w:rsid w:val="000575BF"/>
    <w:rsid w:val="00057824"/>
    <w:rsid w:val="00071F42"/>
    <w:rsid w:val="00072A35"/>
    <w:rsid w:val="000753E6"/>
    <w:rsid w:val="00080E2E"/>
    <w:rsid w:val="0008209E"/>
    <w:rsid w:val="00090BD1"/>
    <w:rsid w:val="0009411F"/>
    <w:rsid w:val="00096945"/>
    <w:rsid w:val="000A7B81"/>
    <w:rsid w:val="000B545A"/>
    <w:rsid w:val="000B6B44"/>
    <w:rsid w:val="000B797E"/>
    <w:rsid w:val="000C26F8"/>
    <w:rsid w:val="000E0624"/>
    <w:rsid w:val="000E4272"/>
    <w:rsid w:val="000E6CBF"/>
    <w:rsid w:val="000F450C"/>
    <w:rsid w:val="00100E85"/>
    <w:rsid w:val="00107D93"/>
    <w:rsid w:val="00123BF5"/>
    <w:rsid w:val="00125121"/>
    <w:rsid w:val="00132E30"/>
    <w:rsid w:val="0013347F"/>
    <w:rsid w:val="001466F6"/>
    <w:rsid w:val="00150BB5"/>
    <w:rsid w:val="001807E7"/>
    <w:rsid w:val="00181F1B"/>
    <w:rsid w:val="00191EA7"/>
    <w:rsid w:val="00192DED"/>
    <w:rsid w:val="001B0DAC"/>
    <w:rsid w:val="001B24DD"/>
    <w:rsid w:val="001E29A0"/>
    <w:rsid w:val="001E2F08"/>
    <w:rsid w:val="001E7147"/>
    <w:rsid w:val="001E7D8D"/>
    <w:rsid w:val="001F4E43"/>
    <w:rsid w:val="001F62FF"/>
    <w:rsid w:val="00207393"/>
    <w:rsid w:val="00216EB4"/>
    <w:rsid w:val="002179E6"/>
    <w:rsid w:val="00230F03"/>
    <w:rsid w:val="002310B8"/>
    <w:rsid w:val="002312A1"/>
    <w:rsid w:val="00232884"/>
    <w:rsid w:val="00232FE4"/>
    <w:rsid w:val="00234F20"/>
    <w:rsid w:val="002400AC"/>
    <w:rsid w:val="002428CD"/>
    <w:rsid w:val="00250114"/>
    <w:rsid w:val="00265C73"/>
    <w:rsid w:val="00272EBD"/>
    <w:rsid w:val="0027385B"/>
    <w:rsid w:val="00274FA5"/>
    <w:rsid w:val="0027676D"/>
    <w:rsid w:val="002830A4"/>
    <w:rsid w:val="00297E1D"/>
    <w:rsid w:val="002B4328"/>
    <w:rsid w:val="002B64C8"/>
    <w:rsid w:val="002B6EFF"/>
    <w:rsid w:val="002C3C7A"/>
    <w:rsid w:val="002C3FCF"/>
    <w:rsid w:val="002C6B70"/>
    <w:rsid w:val="002C7F3F"/>
    <w:rsid w:val="002E23C7"/>
    <w:rsid w:val="002E7879"/>
    <w:rsid w:val="002F5789"/>
    <w:rsid w:val="00305346"/>
    <w:rsid w:val="00311A94"/>
    <w:rsid w:val="003138B8"/>
    <w:rsid w:val="00313EA0"/>
    <w:rsid w:val="00322A61"/>
    <w:rsid w:val="00325CA1"/>
    <w:rsid w:val="00345856"/>
    <w:rsid w:val="00374423"/>
    <w:rsid w:val="003746C8"/>
    <w:rsid w:val="0037755A"/>
    <w:rsid w:val="00380D12"/>
    <w:rsid w:val="00391CF6"/>
    <w:rsid w:val="00394936"/>
    <w:rsid w:val="003A4218"/>
    <w:rsid w:val="003A6C92"/>
    <w:rsid w:val="003C414A"/>
    <w:rsid w:val="003E3C6F"/>
    <w:rsid w:val="003E46E0"/>
    <w:rsid w:val="003E6F62"/>
    <w:rsid w:val="003F43AA"/>
    <w:rsid w:val="003F7F41"/>
    <w:rsid w:val="0040048C"/>
    <w:rsid w:val="004112C2"/>
    <w:rsid w:val="0041769C"/>
    <w:rsid w:val="00420E0B"/>
    <w:rsid w:val="00431C2E"/>
    <w:rsid w:val="00440219"/>
    <w:rsid w:val="00446B4E"/>
    <w:rsid w:val="0045392F"/>
    <w:rsid w:val="00454437"/>
    <w:rsid w:val="00456B7B"/>
    <w:rsid w:val="00457093"/>
    <w:rsid w:val="00461982"/>
    <w:rsid w:val="004626EF"/>
    <w:rsid w:val="00483E17"/>
    <w:rsid w:val="00486F2D"/>
    <w:rsid w:val="00491DA9"/>
    <w:rsid w:val="004929FB"/>
    <w:rsid w:val="00495521"/>
    <w:rsid w:val="004A33F6"/>
    <w:rsid w:val="004B2078"/>
    <w:rsid w:val="004C3460"/>
    <w:rsid w:val="004C5D54"/>
    <w:rsid w:val="004D31C0"/>
    <w:rsid w:val="004E0497"/>
    <w:rsid w:val="004E0D88"/>
    <w:rsid w:val="004E1FAE"/>
    <w:rsid w:val="004E62E8"/>
    <w:rsid w:val="004E7AA5"/>
    <w:rsid w:val="004F35C6"/>
    <w:rsid w:val="004F424F"/>
    <w:rsid w:val="00531148"/>
    <w:rsid w:val="00532A34"/>
    <w:rsid w:val="00533B45"/>
    <w:rsid w:val="0054574F"/>
    <w:rsid w:val="00545C69"/>
    <w:rsid w:val="0055177D"/>
    <w:rsid w:val="0055190A"/>
    <w:rsid w:val="00554DD3"/>
    <w:rsid w:val="0056304A"/>
    <w:rsid w:val="00563962"/>
    <w:rsid w:val="00565A62"/>
    <w:rsid w:val="005751A4"/>
    <w:rsid w:val="005767E7"/>
    <w:rsid w:val="00584A98"/>
    <w:rsid w:val="005B56B8"/>
    <w:rsid w:val="005B70D8"/>
    <w:rsid w:val="005B71E0"/>
    <w:rsid w:val="005C2AF9"/>
    <w:rsid w:val="005D1030"/>
    <w:rsid w:val="005D3E0C"/>
    <w:rsid w:val="005E3784"/>
    <w:rsid w:val="005E3894"/>
    <w:rsid w:val="005E57B3"/>
    <w:rsid w:val="00603CCB"/>
    <w:rsid w:val="006141B0"/>
    <w:rsid w:val="006146DD"/>
    <w:rsid w:val="0062568D"/>
    <w:rsid w:val="006435F4"/>
    <w:rsid w:val="006459A3"/>
    <w:rsid w:val="00646E41"/>
    <w:rsid w:val="006470DC"/>
    <w:rsid w:val="006617DF"/>
    <w:rsid w:val="006640AA"/>
    <w:rsid w:val="0066742C"/>
    <w:rsid w:val="0067122D"/>
    <w:rsid w:val="00671A5E"/>
    <w:rsid w:val="00673216"/>
    <w:rsid w:val="0067681B"/>
    <w:rsid w:val="00681B5E"/>
    <w:rsid w:val="006828D7"/>
    <w:rsid w:val="00683B1A"/>
    <w:rsid w:val="00686749"/>
    <w:rsid w:val="006942CE"/>
    <w:rsid w:val="006A3ECB"/>
    <w:rsid w:val="006A74AD"/>
    <w:rsid w:val="006A7626"/>
    <w:rsid w:val="006B0DC6"/>
    <w:rsid w:val="006B1D9C"/>
    <w:rsid w:val="006B2EDF"/>
    <w:rsid w:val="006B49DE"/>
    <w:rsid w:val="006B51A9"/>
    <w:rsid w:val="006C31D5"/>
    <w:rsid w:val="006C4895"/>
    <w:rsid w:val="006C6FDB"/>
    <w:rsid w:val="006E1A7A"/>
    <w:rsid w:val="006F08AA"/>
    <w:rsid w:val="006F0DF6"/>
    <w:rsid w:val="00707DC2"/>
    <w:rsid w:val="007139F2"/>
    <w:rsid w:val="00713B2F"/>
    <w:rsid w:val="00725B5A"/>
    <w:rsid w:val="0072697E"/>
    <w:rsid w:val="0072750B"/>
    <w:rsid w:val="00730CB2"/>
    <w:rsid w:val="00744E7F"/>
    <w:rsid w:val="007469C8"/>
    <w:rsid w:val="00746F04"/>
    <w:rsid w:val="00765464"/>
    <w:rsid w:val="00771A9C"/>
    <w:rsid w:val="00771B34"/>
    <w:rsid w:val="00786E09"/>
    <w:rsid w:val="0079084A"/>
    <w:rsid w:val="00794CD9"/>
    <w:rsid w:val="007C2CEC"/>
    <w:rsid w:val="007C3378"/>
    <w:rsid w:val="007C3D9F"/>
    <w:rsid w:val="007C6C86"/>
    <w:rsid w:val="007D4715"/>
    <w:rsid w:val="007D587C"/>
    <w:rsid w:val="007D62DB"/>
    <w:rsid w:val="007D6842"/>
    <w:rsid w:val="007E004F"/>
    <w:rsid w:val="007E5DE9"/>
    <w:rsid w:val="008145ED"/>
    <w:rsid w:val="008209C5"/>
    <w:rsid w:val="00830511"/>
    <w:rsid w:val="008371B8"/>
    <w:rsid w:val="0084643C"/>
    <w:rsid w:val="008571C1"/>
    <w:rsid w:val="0086114E"/>
    <w:rsid w:val="0086117F"/>
    <w:rsid w:val="00865036"/>
    <w:rsid w:val="00871047"/>
    <w:rsid w:val="00880B34"/>
    <w:rsid w:val="00890051"/>
    <w:rsid w:val="008A045B"/>
    <w:rsid w:val="008A50F1"/>
    <w:rsid w:val="008D0B3C"/>
    <w:rsid w:val="008D68A3"/>
    <w:rsid w:val="008E7283"/>
    <w:rsid w:val="008F649C"/>
    <w:rsid w:val="00900525"/>
    <w:rsid w:val="00904A99"/>
    <w:rsid w:val="00912B93"/>
    <w:rsid w:val="00914B75"/>
    <w:rsid w:val="00915E05"/>
    <w:rsid w:val="009202E7"/>
    <w:rsid w:val="00921EA1"/>
    <w:rsid w:val="0092375D"/>
    <w:rsid w:val="0092569A"/>
    <w:rsid w:val="009307B0"/>
    <w:rsid w:val="0093137B"/>
    <w:rsid w:val="00931D44"/>
    <w:rsid w:val="0093214A"/>
    <w:rsid w:val="00934DED"/>
    <w:rsid w:val="00937854"/>
    <w:rsid w:val="009423C9"/>
    <w:rsid w:val="00952320"/>
    <w:rsid w:val="00962678"/>
    <w:rsid w:val="009708D0"/>
    <w:rsid w:val="0097282B"/>
    <w:rsid w:val="009924D9"/>
    <w:rsid w:val="00992A05"/>
    <w:rsid w:val="0099660C"/>
    <w:rsid w:val="009A02A8"/>
    <w:rsid w:val="009A249F"/>
    <w:rsid w:val="009A326B"/>
    <w:rsid w:val="009B79F2"/>
    <w:rsid w:val="009C4CEE"/>
    <w:rsid w:val="009C748A"/>
    <w:rsid w:val="009D1736"/>
    <w:rsid w:val="009D2A21"/>
    <w:rsid w:val="009D30D4"/>
    <w:rsid w:val="009E36F8"/>
    <w:rsid w:val="009E7D45"/>
    <w:rsid w:val="009F4158"/>
    <w:rsid w:val="009F51A9"/>
    <w:rsid w:val="00A05504"/>
    <w:rsid w:val="00A06DC4"/>
    <w:rsid w:val="00A07812"/>
    <w:rsid w:val="00A1188C"/>
    <w:rsid w:val="00A140A9"/>
    <w:rsid w:val="00A209A8"/>
    <w:rsid w:val="00A20E1A"/>
    <w:rsid w:val="00A22E34"/>
    <w:rsid w:val="00A31593"/>
    <w:rsid w:val="00A32744"/>
    <w:rsid w:val="00A35F10"/>
    <w:rsid w:val="00A37057"/>
    <w:rsid w:val="00A44590"/>
    <w:rsid w:val="00A5035D"/>
    <w:rsid w:val="00A55882"/>
    <w:rsid w:val="00A55C8C"/>
    <w:rsid w:val="00A61C73"/>
    <w:rsid w:val="00A74E75"/>
    <w:rsid w:val="00A802A1"/>
    <w:rsid w:val="00A87AD0"/>
    <w:rsid w:val="00AA4F04"/>
    <w:rsid w:val="00AB64F7"/>
    <w:rsid w:val="00AB6B38"/>
    <w:rsid w:val="00AC50A5"/>
    <w:rsid w:val="00AC779A"/>
    <w:rsid w:val="00AD6BF8"/>
    <w:rsid w:val="00AE4A1C"/>
    <w:rsid w:val="00AF6FC7"/>
    <w:rsid w:val="00B0618E"/>
    <w:rsid w:val="00B14DC3"/>
    <w:rsid w:val="00B15129"/>
    <w:rsid w:val="00B41493"/>
    <w:rsid w:val="00B4584C"/>
    <w:rsid w:val="00B50330"/>
    <w:rsid w:val="00B747AB"/>
    <w:rsid w:val="00B832B4"/>
    <w:rsid w:val="00B855B6"/>
    <w:rsid w:val="00B9328A"/>
    <w:rsid w:val="00B94168"/>
    <w:rsid w:val="00BA2AD2"/>
    <w:rsid w:val="00BA57D6"/>
    <w:rsid w:val="00BA583B"/>
    <w:rsid w:val="00BB048F"/>
    <w:rsid w:val="00BB2745"/>
    <w:rsid w:val="00BC3BE9"/>
    <w:rsid w:val="00BC4DBE"/>
    <w:rsid w:val="00BC565E"/>
    <w:rsid w:val="00BD335E"/>
    <w:rsid w:val="00BE0677"/>
    <w:rsid w:val="00BE5B83"/>
    <w:rsid w:val="00BF02D7"/>
    <w:rsid w:val="00BF0C31"/>
    <w:rsid w:val="00BF1A6B"/>
    <w:rsid w:val="00BF31CE"/>
    <w:rsid w:val="00C00D07"/>
    <w:rsid w:val="00C01159"/>
    <w:rsid w:val="00C03734"/>
    <w:rsid w:val="00C03BB5"/>
    <w:rsid w:val="00C06235"/>
    <w:rsid w:val="00C176EB"/>
    <w:rsid w:val="00C3267E"/>
    <w:rsid w:val="00C34893"/>
    <w:rsid w:val="00C50AA7"/>
    <w:rsid w:val="00C557B4"/>
    <w:rsid w:val="00C55E04"/>
    <w:rsid w:val="00C6018F"/>
    <w:rsid w:val="00C63731"/>
    <w:rsid w:val="00C637A6"/>
    <w:rsid w:val="00C661CD"/>
    <w:rsid w:val="00C669B7"/>
    <w:rsid w:val="00C70049"/>
    <w:rsid w:val="00C73A9B"/>
    <w:rsid w:val="00C73DB3"/>
    <w:rsid w:val="00C75BFE"/>
    <w:rsid w:val="00C7715D"/>
    <w:rsid w:val="00C81E83"/>
    <w:rsid w:val="00C82DF5"/>
    <w:rsid w:val="00C85BA8"/>
    <w:rsid w:val="00C87BEE"/>
    <w:rsid w:val="00CA0609"/>
    <w:rsid w:val="00CA4D5D"/>
    <w:rsid w:val="00CB6607"/>
    <w:rsid w:val="00CB7158"/>
    <w:rsid w:val="00CC06AA"/>
    <w:rsid w:val="00CD2F3B"/>
    <w:rsid w:val="00CD75E2"/>
    <w:rsid w:val="00CE04D3"/>
    <w:rsid w:val="00CE4E97"/>
    <w:rsid w:val="00CF37B9"/>
    <w:rsid w:val="00CF3C21"/>
    <w:rsid w:val="00D0103D"/>
    <w:rsid w:val="00D06AF2"/>
    <w:rsid w:val="00D123DD"/>
    <w:rsid w:val="00D143E0"/>
    <w:rsid w:val="00D15829"/>
    <w:rsid w:val="00D1587E"/>
    <w:rsid w:val="00D23E9B"/>
    <w:rsid w:val="00D30FEA"/>
    <w:rsid w:val="00D328F4"/>
    <w:rsid w:val="00D36042"/>
    <w:rsid w:val="00D371EA"/>
    <w:rsid w:val="00D40DA3"/>
    <w:rsid w:val="00D441C2"/>
    <w:rsid w:val="00D57DBE"/>
    <w:rsid w:val="00D60D64"/>
    <w:rsid w:val="00D61530"/>
    <w:rsid w:val="00D624D9"/>
    <w:rsid w:val="00D62C8A"/>
    <w:rsid w:val="00D7525C"/>
    <w:rsid w:val="00D75C9C"/>
    <w:rsid w:val="00D77D5C"/>
    <w:rsid w:val="00D81A7D"/>
    <w:rsid w:val="00D81C5D"/>
    <w:rsid w:val="00D85046"/>
    <w:rsid w:val="00D85DFB"/>
    <w:rsid w:val="00D90157"/>
    <w:rsid w:val="00D9273D"/>
    <w:rsid w:val="00D931CC"/>
    <w:rsid w:val="00D93B3A"/>
    <w:rsid w:val="00DA15A7"/>
    <w:rsid w:val="00DA6175"/>
    <w:rsid w:val="00DB1E54"/>
    <w:rsid w:val="00DB4A21"/>
    <w:rsid w:val="00DB50E4"/>
    <w:rsid w:val="00DD2557"/>
    <w:rsid w:val="00DD52D5"/>
    <w:rsid w:val="00DE1A28"/>
    <w:rsid w:val="00DE22D5"/>
    <w:rsid w:val="00DF1C13"/>
    <w:rsid w:val="00DF2C38"/>
    <w:rsid w:val="00DF4BF7"/>
    <w:rsid w:val="00DF6A28"/>
    <w:rsid w:val="00E0397E"/>
    <w:rsid w:val="00E17D36"/>
    <w:rsid w:val="00E25783"/>
    <w:rsid w:val="00E329F5"/>
    <w:rsid w:val="00E35463"/>
    <w:rsid w:val="00E35E8D"/>
    <w:rsid w:val="00E464D4"/>
    <w:rsid w:val="00E51B30"/>
    <w:rsid w:val="00E51E8D"/>
    <w:rsid w:val="00E53642"/>
    <w:rsid w:val="00E54F1E"/>
    <w:rsid w:val="00E613F8"/>
    <w:rsid w:val="00E67EC6"/>
    <w:rsid w:val="00E75CD0"/>
    <w:rsid w:val="00E83E72"/>
    <w:rsid w:val="00E87D0B"/>
    <w:rsid w:val="00EA38FD"/>
    <w:rsid w:val="00EB021E"/>
    <w:rsid w:val="00EB3ECF"/>
    <w:rsid w:val="00EC48E8"/>
    <w:rsid w:val="00ED3CD6"/>
    <w:rsid w:val="00EE1E3C"/>
    <w:rsid w:val="00EE54CD"/>
    <w:rsid w:val="00EF0F62"/>
    <w:rsid w:val="00F02B4E"/>
    <w:rsid w:val="00F0522A"/>
    <w:rsid w:val="00F0693C"/>
    <w:rsid w:val="00F11C1E"/>
    <w:rsid w:val="00F225F5"/>
    <w:rsid w:val="00F37A5E"/>
    <w:rsid w:val="00F47004"/>
    <w:rsid w:val="00F47BE9"/>
    <w:rsid w:val="00F515F1"/>
    <w:rsid w:val="00F537AA"/>
    <w:rsid w:val="00F53A4F"/>
    <w:rsid w:val="00F55532"/>
    <w:rsid w:val="00F60933"/>
    <w:rsid w:val="00F67BFA"/>
    <w:rsid w:val="00F73A91"/>
    <w:rsid w:val="00F814AF"/>
    <w:rsid w:val="00F82046"/>
    <w:rsid w:val="00F83045"/>
    <w:rsid w:val="00F8314C"/>
    <w:rsid w:val="00F83BA9"/>
    <w:rsid w:val="00F850E3"/>
    <w:rsid w:val="00FB7F2C"/>
    <w:rsid w:val="00FC16BD"/>
    <w:rsid w:val="00FC2DE9"/>
    <w:rsid w:val="00FC7BE7"/>
    <w:rsid w:val="00FD1155"/>
    <w:rsid w:val="00FD1170"/>
    <w:rsid w:val="00FF2420"/>
    <w:rsid w:val="00FF4207"/>
    <w:rsid w:val="01830853"/>
    <w:rsid w:val="01D56024"/>
    <w:rsid w:val="020813B3"/>
    <w:rsid w:val="0A4B1DA0"/>
    <w:rsid w:val="0B3B06D3"/>
    <w:rsid w:val="0FF45DAC"/>
    <w:rsid w:val="11910C9F"/>
    <w:rsid w:val="13E12F7C"/>
    <w:rsid w:val="15E31A3F"/>
    <w:rsid w:val="172A4097"/>
    <w:rsid w:val="1BA70C10"/>
    <w:rsid w:val="1CC820A9"/>
    <w:rsid w:val="1E8E21DD"/>
    <w:rsid w:val="1E906AED"/>
    <w:rsid w:val="234B5DD4"/>
    <w:rsid w:val="25A64B13"/>
    <w:rsid w:val="320973E2"/>
    <w:rsid w:val="361F7011"/>
    <w:rsid w:val="3FDF7F83"/>
    <w:rsid w:val="433940DE"/>
    <w:rsid w:val="4470188E"/>
    <w:rsid w:val="45483507"/>
    <w:rsid w:val="513E2196"/>
    <w:rsid w:val="539B6B17"/>
    <w:rsid w:val="54253B59"/>
    <w:rsid w:val="548473F6"/>
    <w:rsid w:val="55C16DFE"/>
    <w:rsid w:val="588821FB"/>
    <w:rsid w:val="5C541787"/>
    <w:rsid w:val="5FE1502B"/>
    <w:rsid w:val="5FFB6261"/>
    <w:rsid w:val="63502249"/>
    <w:rsid w:val="65BF0B31"/>
    <w:rsid w:val="68950DEB"/>
    <w:rsid w:val="68AF7496"/>
    <w:rsid w:val="6B4E11D9"/>
    <w:rsid w:val="6E8C5719"/>
    <w:rsid w:val="792C00B0"/>
    <w:rsid w:val="7D0157F8"/>
    <w:rsid w:val="7E2A6571"/>
    <w:rsid w:val="7FD0626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paragraph" w:styleId="2">
    <w:name w:val="heading 1"/>
    <w:basedOn w:val="1"/>
    <w:next w:val="1"/>
    <w:link w:val="20"/>
    <w:qFormat/>
    <w:uiPriority w:val="9"/>
    <w:pPr>
      <w:keepNext/>
      <w:keepLines/>
      <w:spacing w:before="340" w:after="330" w:line="578" w:lineRule="auto"/>
      <w:outlineLvl w:val="0"/>
    </w:pPr>
    <w:rPr>
      <w:rFonts w:eastAsia="仿宋"/>
      <w:b/>
      <w:bCs/>
      <w:kern w:val="44"/>
      <w:sz w:val="28"/>
      <w:szCs w:val="44"/>
    </w:rPr>
  </w:style>
  <w:style w:type="paragraph" w:styleId="3">
    <w:name w:val="heading 2"/>
    <w:basedOn w:val="1"/>
    <w:next w:val="1"/>
    <w:qFormat/>
    <w:uiPriority w:val="9"/>
    <w:pPr>
      <w:keepNext/>
      <w:keepLines/>
      <w:spacing w:before="260" w:beforeLines="0" w:beforeAutospacing="0" w:after="260" w:afterLines="0" w:afterAutospacing="0" w:line="413" w:lineRule="auto"/>
      <w:jc w:val="center"/>
      <w:outlineLvl w:val="1"/>
    </w:pPr>
    <w:rPr>
      <w:rFonts w:ascii="Arial" w:hAnsi="Arial" w:eastAsia="仿宋"/>
      <w:b/>
      <w:sz w:val="28"/>
    </w:rPr>
  </w:style>
  <w:style w:type="paragraph" w:styleId="4">
    <w:name w:val="heading 3"/>
    <w:basedOn w:val="1"/>
    <w:next w:val="1"/>
    <w:qFormat/>
    <w:uiPriority w:val="9"/>
    <w:pPr>
      <w:keepNext/>
      <w:keepLines/>
      <w:spacing w:before="140" w:beforeLines="0" w:beforeAutospacing="0" w:after="140" w:afterLines="0" w:afterAutospacing="0" w:line="413" w:lineRule="auto"/>
      <w:ind w:leftChars="200"/>
      <w:jc w:val="left"/>
      <w:outlineLvl w:val="2"/>
    </w:pPr>
    <w:rPr>
      <w:rFonts w:ascii="Times New Roman" w:hAnsi="Times New Roman" w:eastAsia="仿宋"/>
      <w:sz w:val="28"/>
    </w:rPr>
  </w:style>
  <w:style w:type="paragraph" w:styleId="5">
    <w:name w:val="heading 5"/>
    <w:basedOn w:val="1"/>
    <w:next w:val="1"/>
    <w:link w:val="21"/>
    <w:qFormat/>
    <w:uiPriority w:val="0"/>
    <w:pPr>
      <w:keepNext/>
      <w:keepLines/>
      <w:spacing w:before="280" w:beforeLines="0" w:after="290" w:afterLines="0" w:line="376" w:lineRule="auto"/>
      <w:outlineLvl w:val="4"/>
    </w:pPr>
    <w:rPr>
      <w:b/>
      <w:bCs/>
      <w:kern w:val="0"/>
      <w:sz w:val="28"/>
      <w:szCs w:val="28"/>
    </w:rPr>
  </w:style>
  <w:style w:type="character" w:default="1" w:styleId="17">
    <w:name w:val="Default Paragraph Font"/>
    <w:unhideWhenUsed/>
    <w:uiPriority w:val="1"/>
  </w:style>
  <w:style w:type="table" w:default="1" w:styleId="16">
    <w:name w:val="Normal Table"/>
    <w:unhideWhenUsed/>
    <w:uiPriority w:val="99"/>
    <w:tblPr>
      <w:tblStyle w:val="16"/>
      <w:tblCellMar>
        <w:top w:w="0" w:type="dxa"/>
        <w:left w:w="108" w:type="dxa"/>
        <w:bottom w:w="0" w:type="dxa"/>
        <w:right w:w="108" w:type="dxa"/>
      </w:tblCellMar>
    </w:tblPr>
  </w:style>
  <w:style w:type="paragraph" w:styleId="6">
    <w:name w:val="annotation text"/>
    <w:basedOn w:val="1"/>
    <w:unhideWhenUsed/>
    <w:uiPriority w:val="99"/>
    <w:pPr>
      <w:jc w:val="left"/>
    </w:pPr>
  </w:style>
  <w:style w:type="paragraph" w:styleId="7">
    <w:name w:val="Body Text Indent"/>
    <w:basedOn w:val="1"/>
    <w:link w:val="22"/>
    <w:qFormat/>
    <w:uiPriority w:val="0"/>
    <w:pPr>
      <w:ind w:left="480"/>
    </w:pPr>
    <w:rPr>
      <w:sz w:val="24"/>
      <w:szCs w:val="20"/>
    </w:rPr>
  </w:style>
  <w:style w:type="paragraph" w:styleId="8">
    <w:name w:val="Plain Text"/>
    <w:basedOn w:val="1"/>
    <w:uiPriority w:val="0"/>
    <w:rPr>
      <w:rFonts w:ascii="宋体" w:hAnsi="Courier New" w:cs="黑体"/>
      <w:szCs w:val="21"/>
    </w:rPr>
  </w:style>
  <w:style w:type="paragraph" w:styleId="9">
    <w:name w:val="Date"/>
    <w:basedOn w:val="1"/>
    <w:next w:val="1"/>
    <w:link w:val="23"/>
    <w:uiPriority w:val="0"/>
    <w:rPr>
      <w:sz w:val="28"/>
      <w:szCs w:val="20"/>
    </w:rPr>
  </w:style>
  <w:style w:type="paragraph" w:styleId="10">
    <w:name w:val="Body Text Indent 2"/>
    <w:basedOn w:val="1"/>
    <w:qFormat/>
    <w:uiPriority w:val="0"/>
    <w:pPr>
      <w:spacing w:line="300" w:lineRule="auto"/>
      <w:ind w:left="360"/>
    </w:pPr>
    <w:rPr>
      <w:sz w:val="24"/>
    </w:rPr>
  </w:style>
  <w:style w:type="paragraph" w:styleId="11">
    <w:name w:val="Balloon Text"/>
    <w:basedOn w:val="1"/>
    <w:link w:val="24"/>
    <w:unhideWhenUsed/>
    <w:uiPriority w:val="99"/>
    <w:rPr>
      <w:kern w:val="0"/>
      <w:sz w:val="18"/>
      <w:szCs w:val="18"/>
    </w:rPr>
  </w:style>
  <w:style w:type="paragraph" w:styleId="12">
    <w:name w:val="footer"/>
    <w:basedOn w:val="1"/>
    <w:link w:val="25"/>
    <w:unhideWhenUsed/>
    <w:uiPriority w:val="99"/>
    <w:pPr>
      <w:tabs>
        <w:tab w:val="center" w:pos="4153"/>
        <w:tab w:val="right" w:pos="8306"/>
      </w:tabs>
      <w:snapToGrid w:val="0"/>
      <w:jc w:val="left"/>
    </w:pPr>
    <w:rPr>
      <w:kern w:val="0"/>
      <w:sz w:val="18"/>
      <w:szCs w:val="18"/>
    </w:rPr>
  </w:style>
  <w:style w:type="paragraph" w:styleId="13">
    <w:name w:val="header"/>
    <w:basedOn w:val="1"/>
    <w:link w:val="26"/>
    <w:unhideWhenUsed/>
    <w:uiPriority w:val="99"/>
    <w:pPr>
      <w:pBdr>
        <w:bottom w:val="single" w:color="auto" w:sz="6" w:space="1"/>
      </w:pBdr>
      <w:tabs>
        <w:tab w:val="center" w:pos="4153"/>
        <w:tab w:val="right" w:pos="8306"/>
      </w:tabs>
      <w:snapToGrid w:val="0"/>
      <w:jc w:val="center"/>
    </w:pPr>
    <w:rPr>
      <w:kern w:val="0"/>
      <w:sz w:val="18"/>
      <w:szCs w:val="18"/>
    </w:rPr>
  </w:style>
  <w:style w:type="paragraph" w:styleId="14">
    <w:name w:val="toc 1"/>
    <w:basedOn w:val="1"/>
    <w:next w:val="1"/>
    <w:unhideWhenUsed/>
    <w:uiPriority w:val="39"/>
    <w:rPr>
      <w:rFonts w:ascii="Times New Roman" w:hAnsi="Times New Roman"/>
      <w:szCs w:val="24"/>
    </w:rPr>
  </w:style>
  <w:style w:type="paragraph" w:styleId="15">
    <w:name w:val="toc 2"/>
    <w:basedOn w:val="1"/>
    <w:next w:val="1"/>
    <w:unhideWhenUsed/>
    <w:uiPriority w:val="0"/>
    <w:pPr>
      <w:ind w:left="420" w:leftChars="200"/>
    </w:pPr>
    <w:rPr>
      <w:rFonts w:ascii="Times New Roman" w:hAnsi="Times New Roman"/>
      <w:szCs w:val="24"/>
    </w:rPr>
  </w:style>
  <w:style w:type="character" w:styleId="18">
    <w:name w:val="page number"/>
    <w:unhideWhenUsed/>
    <w:uiPriority w:val="99"/>
  </w:style>
  <w:style w:type="character" w:styleId="19">
    <w:name w:val="Hyperlink"/>
    <w:unhideWhenUsed/>
    <w:uiPriority w:val="99"/>
    <w:rPr>
      <w:color w:val="0000FF"/>
      <w:u w:val="single"/>
    </w:rPr>
  </w:style>
  <w:style w:type="character" w:customStyle="1" w:styleId="20">
    <w:name w:val="标题 1 Char"/>
    <w:link w:val="2"/>
    <w:uiPriority w:val="9"/>
    <w:rPr>
      <w:rFonts w:ascii="Times New Roman" w:hAnsi="Times New Roman" w:eastAsia="仿宋"/>
      <w:b/>
      <w:bCs/>
      <w:kern w:val="44"/>
      <w:sz w:val="28"/>
      <w:szCs w:val="44"/>
    </w:rPr>
  </w:style>
  <w:style w:type="character" w:customStyle="1" w:styleId="21">
    <w:name w:val="标题 5 Char"/>
    <w:link w:val="5"/>
    <w:uiPriority w:val="0"/>
    <w:rPr>
      <w:b/>
      <w:bCs/>
      <w:sz w:val="28"/>
      <w:szCs w:val="28"/>
    </w:rPr>
  </w:style>
  <w:style w:type="character" w:customStyle="1" w:styleId="22">
    <w:name w:val="正文文本缩进 Char"/>
    <w:link w:val="7"/>
    <w:qFormat/>
    <w:uiPriority w:val="0"/>
    <w:rPr>
      <w:kern w:val="2"/>
      <w:sz w:val="24"/>
    </w:rPr>
  </w:style>
  <w:style w:type="character" w:customStyle="1" w:styleId="23">
    <w:name w:val="日期 Char"/>
    <w:link w:val="9"/>
    <w:uiPriority w:val="0"/>
    <w:rPr>
      <w:kern w:val="2"/>
      <w:sz w:val="28"/>
    </w:rPr>
  </w:style>
  <w:style w:type="character" w:customStyle="1" w:styleId="24">
    <w:name w:val="批注框文本 Char"/>
    <w:link w:val="11"/>
    <w:semiHidden/>
    <w:uiPriority w:val="99"/>
    <w:rPr>
      <w:sz w:val="18"/>
      <w:szCs w:val="18"/>
    </w:rPr>
  </w:style>
  <w:style w:type="character" w:customStyle="1" w:styleId="25">
    <w:name w:val="页脚 Char"/>
    <w:link w:val="12"/>
    <w:uiPriority w:val="99"/>
    <w:rPr>
      <w:sz w:val="18"/>
      <w:szCs w:val="18"/>
    </w:rPr>
  </w:style>
  <w:style w:type="character" w:customStyle="1" w:styleId="26">
    <w:name w:val="页眉 Char"/>
    <w:link w:val="13"/>
    <w:uiPriority w:val="99"/>
    <w:rPr>
      <w:sz w:val="18"/>
      <w:szCs w:val="18"/>
    </w:rPr>
  </w:style>
  <w:style w:type="paragraph" w:customStyle="1" w:styleId="27">
    <w:name w:val="List Paragraph"/>
    <w:basedOn w:val="1"/>
    <w:uiPriority w:val="0"/>
    <w:pPr>
      <w:ind w:firstLine="420" w:firstLineChars="200"/>
    </w:pPr>
  </w:style>
  <w:style w:type="paragraph" w:customStyle="1" w:styleId="28">
    <w:name w:val=" Char Char Char Char Char Char Char Char Char Char Char Char Char Char Char Char"/>
    <w:basedOn w:val="1"/>
    <w:uiPriority w:val="0"/>
    <w:pPr>
      <w:tabs>
        <w:tab w:val="left" w:pos="360"/>
      </w:tabs>
      <w:spacing w:line="360" w:lineRule="auto"/>
      <w:ind w:left="482" w:firstLine="200" w:firstLineChars="200"/>
    </w:pPr>
    <w:rPr>
      <w:rFonts w:ascii="宋体" w:hAnsi="Times New Roman"/>
      <w:sz w:val="24"/>
      <w:szCs w:val="24"/>
    </w:rPr>
  </w:style>
  <w:style w:type="paragraph" w:customStyle="1" w:styleId="29">
    <w:name w:val="列出段落1"/>
    <w:basedOn w:val="1"/>
    <w:qFormat/>
    <w:uiPriority w:val="0"/>
    <w:pPr>
      <w:ind w:firstLine="420" w:firstLineChars="200"/>
    </w:pPr>
    <w:rPr>
      <w:rFonts w:ascii="Wingdings" w:hAnsi="Wingdings" w:cs="Wingdings"/>
      <w:szCs w:val="24"/>
    </w:rPr>
  </w:style>
  <w:style w:type="paragraph" w:styleId="30">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5790</Words>
  <Characters>6042</Characters>
  <Lines>53</Lines>
  <Paragraphs>14</Paragraphs>
  <TotalTime>0</TotalTime>
  <ScaleCrop>false</ScaleCrop>
  <LinksUpToDate>false</LinksUpToDate>
  <CharactersWithSpaces>6663</CharactersWithSpaces>
  <Application>WPS Office_11.1.0.10358_F1E327BC-269C-435d-A152-05C5408002CA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2021-07-29T07:21:00Z</dcterms:created>
  <dc:creator>Administrator</dc:creator>
  <cp:lastModifiedBy>FaintK</cp:lastModifiedBy>
  <cp:lastPrinted>2022-09-20T07:43:00Z</cp:lastPrinted>
  <dcterms:modified xsi:type="dcterms:W3CDTF">2023-02-22T10:02:10Z</dcterms:modified>
  <dc:title>焊机采购技术协议</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2052-11.1.0.10358</vt:lpwstr>
  </property>
  <property fmtid="{D5CDD505-2E9C-101B-9397-08002B2CF9AE}" pid="3" name="ICV">
    <vt:lpwstr>0B2D59EE7D214866B0E741E19CF8C29B</vt:lpwstr>
  </property>
</Properties>
</file>