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autoSpaceDE w:val="0"/>
        <w:autoSpaceDN w:val="0"/>
        <w:spacing w:line="520" w:lineRule="exact"/>
        <w:jc w:val="center"/>
        <w:rPr>
          <w:rFonts w:hint="eastAsia" w:ascii="黑体" w:hAnsi="黑体" w:eastAsia="黑体"/>
          <w:b/>
          <w:bCs/>
          <w:sz w:val="48"/>
          <w:szCs w:val="48"/>
        </w:rPr>
      </w:pPr>
      <w:r>
        <w:rPr>
          <w:rFonts w:hint="eastAsia" w:ascii="黑体" w:hAnsi="黑体" w:eastAsia="黑体"/>
          <w:b/>
          <w:bCs/>
          <w:sz w:val="48"/>
          <w:szCs w:val="48"/>
        </w:rPr>
        <w:t>南南铝业股份有限公司</w:t>
      </w:r>
    </w:p>
    <w:p>
      <w:pPr>
        <w:autoSpaceDE w:val="0"/>
        <w:autoSpaceDN w:val="0"/>
        <w:spacing w:line="520" w:lineRule="exact"/>
        <w:jc w:val="center"/>
        <w:rPr>
          <w:rFonts w:hint="eastAsia" w:ascii="黑体" w:hAnsi="黑体" w:eastAsia="黑体"/>
          <w:b/>
          <w:bCs/>
          <w:sz w:val="48"/>
          <w:szCs w:val="48"/>
        </w:rPr>
      </w:pPr>
    </w:p>
    <w:p>
      <w:pPr>
        <w:autoSpaceDE w:val="0"/>
        <w:autoSpaceDN w:val="0"/>
        <w:spacing w:line="520" w:lineRule="exact"/>
        <w:jc w:val="center"/>
        <w:rPr>
          <w:rFonts w:hint="default" w:ascii="黑体" w:hAnsi="黑体" w:eastAsia="黑体"/>
          <w:b/>
          <w:bCs/>
          <w:sz w:val="48"/>
          <w:szCs w:val="48"/>
          <w:lang w:val="en-US" w:eastAsia="zh-CN"/>
        </w:rPr>
      </w:pPr>
      <w:r>
        <w:rPr>
          <w:rFonts w:hint="eastAsia" w:ascii="黑体" w:hAnsi="黑体" w:eastAsia="黑体"/>
          <w:b/>
          <w:bCs/>
          <w:sz w:val="48"/>
          <w:szCs w:val="48"/>
          <w:lang w:val="en-US" w:eastAsia="zh-CN"/>
        </w:rPr>
        <w:t>数据</w:t>
      </w:r>
      <w:r>
        <w:rPr>
          <w:rFonts w:hint="eastAsia" w:ascii="黑体" w:hAnsi="黑体" w:eastAsia="黑体"/>
          <w:b/>
          <w:bCs/>
          <w:sz w:val="48"/>
          <w:szCs w:val="48"/>
          <w:lang w:val="en-US" w:eastAsia="zh-CN"/>
        </w:rPr>
        <w:t>中心存储服务器采购</w:t>
      </w:r>
    </w:p>
    <w:p>
      <w:pPr>
        <w:autoSpaceDE w:val="0"/>
        <w:autoSpaceDN w:val="0"/>
        <w:spacing w:line="520" w:lineRule="exact"/>
        <w:jc w:val="center"/>
        <w:rPr>
          <w:rFonts w:hint="eastAsia" w:ascii="黑体" w:hAnsi="黑体" w:eastAsia="黑体"/>
          <w:b/>
          <w:bCs/>
          <w:sz w:val="48"/>
          <w:szCs w:val="48"/>
        </w:rPr>
      </w:pPr>
      <w:r>
        <w:rPr>
          <w:rFonts w:hint="eastAsia" w:ascii="黑体" w:hAnsi="黑体" w:eastAsia="黑体"/>
          <w:b/>
          <w:bCs/>
          <w:sz w:val="48"/>
          <w:szCs w:val="48"/>
        </w:rPr>
        <w:t>招标文件</w:t>
      </w:r>
    </w:p>
    <w:p>
      <w:pPr>
        <w:autoSpaceDE w:val="0"/>
        <w:autoSpaceDN w:val="0"/>
        <w:spacing w:line="520" w:lineRule="exact"/>
        <w:jc w:val="center"/>
        <w:rPr>
          <w:rFonts w:hint="eastAsia" w:ascii="黑体" w:hAnsi="黑体" w:eastAsia="黑体"/>
          <w:b/>
          <w:bCs/>
          <w:sz w:val="48"/>
          <w:szCs w:val="48"/>
        </w:rPr>
      </w:pPr>
    </w:p>
    <w:p>
      <w:pPr>
        <w:autoSpaceDE w:val="0"/>
        <w:autoSpaceDN w:val="0"/>
        <w:spacing w:line="520" w:lineRule="exact"/>
        <w:jc w:val="center"/>
        <w:rPr>
          <w:rFonts w:hint="eastAsia" w:ascii="黑体" w:hAnsi="黑体" w:eastAsia="黑体"/>
          <w:b/>
          <w:bCs/>
          <w:sz w:val="48"/>
          <w:szCs w:val="48"/>
        </w:rPr>
      </w:pPr>
    </w:p>
    <w:p>
      <w:pPr>
        <w:autoSpaceDE w:val="0"/>
        <w:autoSpaceDN w:val="0"/>
        <w:spacing w:line="520" w:lineRule="exact"/>
        <w:jc w:val="center"/>
        <w:rPr>
          <w:rFonts w:hint="eastAsia" w:ascii="黑体" w:hAnsi="黑体" w:eastAsia="黑体"/>
          <w:b/>
          <w:bCs/>
          <w:sz w:val="48"/>
          <w:szCs w:val="48"/>
        </w:rPr>
      </w:pPr>
    </w:p>
    <w:p>
      <w:pPr>
        <w:autoSpaceDE w:val="0"/>
        <w:autoSpaceDN w:val="0"/>
        <w:spacing w:line="360" w:lineRule="auto"/>
        <w:jc w:val="center"/>
        <w:rPr>
          <w:rFonts w:hint="eastAsia" w:ascii="黑体" w:hAnsi="黑体" w:eastAsia="黑体"/>
          <w:b/>
          <w:bCs/>
          <w:sz w:val="30"/>
          <w:szCs w:val="30"/>
        </w:rPr>
      </w:pPr>
    </w:p>
    <w:p>
      <w:pPr>
        <w:autoSpaceDE w:val="0"/>
        <w:autoSpaceDN w:val="0"/>
        <w:spacing w:line="360" w:lineRule="auto"/>
        <w:jc w:val="center"/>
        <w:rPr>
          <w:rFonts w:hint="eastAsia" w:ascii="黑体" w:hAnsi="黑体" w:eastAsia="黑体"/>
          <w:b/>
          <w:bCs/>
          <w:sz w:val="30"/>
          <w:szCs w:val="30"/>
          <w:u w:val="single"/>
        </w:rPr>
      </w:pPr>
      <w:r>
        <w:rPr>
          <w:rFonts w:hint="eastAsia" w:ascii="黑体" w:hAnsi="黑体" w:eastAsia="黑体"/>
          <w:b/>
          <w:bCs/>
          <w:sz w:val="30"/>
          <w:szCs w:val="30"/>
        </w:rPr>
        <w:t>项目名称：数据中心存储服务器采购项目</w:t>
      </w:r>
    </w:p>
    <w:p>
      <w:pPr>
        <w:autoSpaceDE w:val="0"/>
        <w:autoSpaceDN w:val="0"/>
        <w:spacing w:line="360" w:lineRule="auto"/>
        <w:jc w:val="center"/>
        <w:rPr>
          <w:rFonts w:hint="default" w:ascii="黑体" w:hAnsi="黑体" w:eastAsia="黑体"/>
          <w:b/>
          <w:bCs/>
          <w:sz w:val="30"/>
          <w:szCs w:val="30"/>
          <w:u w:val="single"/>
          <w:lang w:val="en-US" w:eastAsia="zh-CN"/>
        </w:rPr>
      </w:pPr>
      <w:r>
        <w:rPr>
          <w:rFonts w:hint="eastAsia" w:ascii="黑体" w:hAnsi="黑体" w:eastAsia="黑体"/>
          <w:b/>
          <w:bCs/>
          <w:sz w:val="30"/>
          <w:szCs w:val="30"/>
        </w:rPr>
        <w:t>项目编号：NNLY-</w:t>
      </w:r>
      <w:r>
        <w:rPr>
          <w:rFonts w:hint="eastAsia" w:ascii="黑体" w:hAnsi="黑体" w:eastAsia="黑体"/>
          <w:b/>
          <w:bCs/>
          <w:sz w:val="30"/>
          <w:szCs w:val="30"/>
          <w:lang w:val="en-US" w:eastAsia="zh-CN"/>
        </w:rPr>
        <w:t>F</w:t>
      </w:r>
      <w:r>
        <w:rPr>
          <w:rFonts w:hint="eastAsia" w:ascii="黑体" w:hAnsi="黑体" w:eastAsia="黑体"/>
          <w:b/>
          <w:bCs/>
          <w:sz w:val="30"/>
          <w:szCs w:val="30"/>
          <w:lang w:val="en-US" w:eastAsia="zh-CN"/>
        </w:rPr>
        <w:t>Z</w:t>
      </w:r>
      <w:r>
        <w:rPr>
          <w:rFonts w:hint="eastAsia" w:ascii="黑体" w:hAnsi="黑体" w:eastAsia="黑体"/>
          <w:b/>
          <w:bCs/>
          <w:sz w:val="30"/>
          <w:szCs w:val="30"/>
        </w:rPr>
        <w:t>-202</w:t>
      </w:r>
      <w:r>
        <w:rPr>
          <w:rFonts w:hint="eastAsia" w:ascii="黑体" w:hAnsi="黑体" w:eastAsia="黑体"/>
          <w:b/>
          <w:bCs/>
          <w:sz w:val="30"/>
          <w:szCs w:val="30"/>
          <w:lang w:val="en-US" w:eastAsia="zh-CN"/>
        </w:rPr>
        <w:t>3</w:t>
      </w:r>
      <w:r>
        <w:rPr>
          <w:rFonts w:hint="eastAsia" w:ascii="黑体" w:hAnsi="黑体" w:eastAsia="黑体"/>
          <w:b/>
          <w:bCs/>
          <w:sz w:val="30"/>
          <w:szCs w:val="30"/>
        </w:rPr>
        <w:t>0</w:t>
      </w:r>
      <w:r>
        <w:rPr>
          <w:rFonts w:hint="eastAsia" w:ascii="黑体" w:hAnsi="黑体" w:eastAsia="黑体"/>
          <w:b/>
          <w:bCs/>
          <w:sz w:val="30"/>
          <w:szCs w:val="30"/>
          <w:lang w:val="en-US" w:eastAsia="zh-CN"/>
        </w:rPr>
        <w:t>31</w:t>
      </w:r>
      <w:r>
        <w:rPr>
          <w:rFonts w:hint="eastAsia" w:ascii="黑体" w:hAnsi="黑体" w:eastAsia="黑体"/>
          <w:b/>
          <w:bCs/>
          <w:sz w:val="30"/>
          <w:szCs w:val="30"/>
          <w:lang w:val="en-US" w:eastAsia="zh-CN"/>
        </w:rPr>
        <w:t>7</w:t>
      </w:r>
    </w:p>
    <w:p>
      <w:pPr>
        <w:autoSpaceDE w:val="0"/>
        <w:autoSpaceDN w:val="0"/>
        <w:spacing w:line="360" w:lineRule="auto"/>
        <w:jc w:val="center"/>
        <w:rPr>
          <w:rFonts w:hint="eastAsia" w:ascii="黑体" w:hAnsi="黑体" w:eastAsia="黑体"/>
          <w:b/>
          <w:bCs/>
          <w:sz w:val="30"/>
          <w:szCs w:val="30"/>
        </w:rPr>
      </w:pPr>
      <w:r>
        <w:rPr>
          <w:rFonts w:hint="eastAsia" w:ascii="黑体" w:hAnsi="黑体" w:eastAsia="黑体"/>
          <w:b/>
          <w:bCs/>
          <w:sz w:val="30"/>
          <w:szCs w:val="30"/>
        </w:rPr>
        <w:t>发标日期：</w:t>
      </w:r>
      <w:r>
        <w:rPr>
          <w:rFonts w:hint="eastAsia" w:ascii="黑体" w:hAnsi="黑体" w:eastAsia="黑体"/>
          <w:b/>
          <w:bCs/>
          <w:sz w:val="30"/>
          <w:szCs w:val="30"/>
          <w:u w:val="single"/>
        </w:rPr>
        <w:t>202</w:t>
      </w:r>
      <w:r>
        <w:rPr>
          <w:rFonts w:hint="eastAsia" w:ascii="黑体" w:hAnsi="黑体" w:eastAsia="黑体"/>
          <w:b/>
          <w:bCs/>
          <w:sz w:val="30"/>
          <w:szCs w:val="30"/>
          <w:u w:val="single"/>
          <w:lang w:val="en-US" w:eastAsia="zh-CN"/>
        </w:rPr>
        <w:t>3</w:t>
      </w:r>
      <w:r>
        <w:rPr>
          <w:rFonts w:hint="eastAsia" w:ascii="黑体" w:hAnsi="黑体" w:eastAsia="黑体"/>
          <w:b/>
          <w:bCs/>
          <w:sz w:val="30"/>
          <w:szCs w:val="30"/>
          <w:u w:val="single"/>
        </w:rPr>
        <w:t xml:space="preserve">年 </w:t>
      </w:r>
      <w:r>
        <w:rPr>
          <w:rFonts w:hint="eastAsia" w:ascii="黑体" w:hAnsi="黑体" w:eastAsia="黑体"/>
          <w:b/>
          <w:bCs/>
          <w:sz w:val="30"/>
          <w:szCs w:val="30"/>
          <w:u w:val="single"/>
          <w:lang w:val="en-US" w:eastAsia="zh-CN"/>
        </w:rPr>
        <w:t>3</w:t>
      </w:r>
      <w:r>
        <w:rPr>
          <w:rFonts w:hint="eastAsia" w:ascii="黑体" w:hAnsi="黑体" w:eastAsia="黑体"/>
          <w:b/>
          <w:bCs/>
          <w:sz w:val="30"/>
          <w:szCs w:val="30"/>
          <w:u w:val="single"/>
        </w:rPr>
        <w:t xml:space="preserve"> 月 </w:t>
      </w:r>
      <w:r>
        <w:rPr>
          <w:rFonts w:hint="eastAsia" w:ascii="黑体" w:hAnsi="黑体" w:eastAsia="黑体"/>
          <w:b/>
          <w:bCs/>
          <w:sz w:val="30"/>
          <w:szCs w:val="30"/>
          <w:u w:val="single"/>
          <w:lang w:val="en-US" w:eastAsia="zh-CN"/>
        </w:rPr>
        <w:t>22</w:t>
      </w:r>
      <w:r>
        <w:rPr>
          <w:rFonts w:hint="eastAsia" w:ascii="黑体" w:hAnsi="黑体" w:eastAsia="黑体"/>
          <w:b/>
          <w:bCs/>
          <w:sz w:val="30"/>
          <w:szCs w:val="30"/>
          <w:u w:val="single"/>
        </w:rPr>
        <w:t xml:space="preserve"> 日</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13"/>
        <w:tabs>
          <w:tab w:val="right" w:leader="dot" w:pos="9070"/>
        </w:tabs>
        <w:jc w:val="center"/>
        <w:rPr>
          <w:rFonts w:hint="eastAsia"/>
        </w:rPr>
      </w:pPr>
      <w:r>
        <w:rPr>
          <w:rFonts w:ascii="黑体" w:eastAsia="黑体"/>
          <w:b/>
          <w:sz w:val="32"/>
          <w:szCs w:val="32"/>
        </w:rPr>
        <w:br w:type="page"/>
      </w:r>
      <w:r>
        <w:rPr>
          <w:rFonts w:hint="eastAsia" w:ascii="黑体" w:eastAsia="黑体"/>
          <w:b/>
          <w:sz w:val="32"/>
          <w:szCs w:val="32"/>
        </w:rPr>
        <w:t>目 录</w:t>
      </w:r>
    </w:p>
    <w:p>
      <w:pPr>
        <w:pStyle w:val="13"/>
        <w:tabs>
          <w:tab w:val="right" w:leader="dot" w:pos="9070"/>
        </w:tabs>
        <w:rPr>
          <w:sz w:val="28"/>
          <w:szCs w:val="36"/>
        </w:rPr>
      </w:pPr>
      <w:r>
        <w:rPr>
          <w:rFonts w:hint="eastAsia" w:ascii="仿宋" w:hAnsi="仿宋" w:eastAsia="仿宋"/>
          <w:b/>
          <w:sz w:val="56"/>
          <w:szCs w:val="56"/>
        </w:rPr>
        <w:fldChar w:fldCharType="begin"/>
      </w:r>
      <w:r>
        <w:rPr>
          <w:rFonts w:hint="eastAsia" w:ascii="仿宋" w:hAnsi="仿宋" w:eastAsia="仿宋"/>
          <w:b/>
          <w:sz w:val="56"/>
          <w:szCs w:val="56"/>
        </w:rPr>
        <w:instrText xml:space="preserve">TOC \o "1-1" \h \u </w:instrText>
      </w:r>
      <w:r>
        <w:rPr>
          <w:rFonts w:hint="eastAsia" w:ascii="仿宋" w:hAnsi="仿宋" w:eastAsia="仿宋"/>
          <w:b/>
          <w:sz w:val="56"/>
          <w:szCs w:val="56"/>
        </w:rPr>
        <w:fldChar w:fldCharType="separate"/>
      </w:r>
      <w:r>
        <w:rPr>
          <w:rFonts w:hint="eastAsia" w:ascii="仿宋" w:hAnsi="仿宋" w:eastAsia="仿宋"/>
          <w:sz w:val="28"/>
          <w:szCs w:val="56"/>
        </w:rPr>
        <w:fldChar w:fldCharType="begin"/>
      </w:r>
      <w:r>
        <w:rPr>
          <w:rFonts w:hint="eastAsia" w:ascii="仿宋" w:hAnsi="仿宋" w:eastAsia="仿宋"/>
          <w:sz w:val="28"/>
          <w:szCs w:val="56"/>
        </w:rPr>
        <w:instrText xml:space="preserve"> HYPERLINK \l _Toc13333 </w:instrText>
      </w:r>
      <w:r>
        <w:rPr>
          <w:rFonts w:hint="eastAsia" w:ascii="仿宋" w:hAnsi="仿宋" w:eastAsia="仿宋"/>
          <w:sz w:val="28"/>
          <w:szCs w:val="56"/>
        </w:rPr>
        <w:fldChar w:fldCharType="separate"/>
      </w:r>
      <w:r>
        <w:rPr>
          <w:rFonts w:hint="eastAsia"/>
          <w:sz w:val="28"/>
          <w:szCs w:val="36"/>
        </w:rPr>
        <w:t>第一部分 招标邀请</w:t>
      </w:r>
      <w:r>
        <w:rPr>
          <w:sz w:val="28"/>
          <w:szCs w:val="36"/>
        </w:rPr>
        <w:tab/>
      </w:r>
      <w:r>
        <w:rPr>
          <w:sz w:val="28"/>
          <w:szCs w:val="36"/>
        </w:rPr>
        <w:fldChar w:fldCharType="begin"/>
      </w:r>
      <w:r>
        <w:rPr>
          <w:sz w:val="28"/>
          <w:szCs w:val="36"/>
        </w:rPr>
        <w:instrText xml:space="preserve"> PAGEREF _Toc13333 \h </w:instrText>
      </w:r>
      <w:r>
        <w:rPr>
          <w:sz w:val="28"/>
          <w:szCs w:val="36"/>
        </w:rPr>
        <w:fldChar w:fldCharType="separate"/>
      </w:r>
      <w:r>
        <w:rPr>
          <w:sz w:val="28"/>
          <w:szCs w:val="36"/>
        </w:rPr>
        <w:t>3</w:t>
      </w:r>
      <w:r>
        <w:rPr>
          <w:sz w:val="28"/>
          <w:szCs w:val="36"/>
        </w:rPr>
        <w:fldChar w:fldCharType="end"/>
      </w:r>
      <w:r>
        <w:rPr>
          <w:rFonts w:hint="eastAsia" w:ascii="仿宋" w:hAnsi="仿宋" w:eastAsia="仿宋"/>
          <w:sz w:val="28"/>
          <w:szCs w:val="56"/>
        </w:rPr>
        <w:fldChar w:fldCharType="end"/>
      </w:r>
    </w:p>
    <w:p>
      <w:pPr>
        <w:pStyle w:val="13"/>
        <w:tabs>
          <w:tab w:val="right" w:leader="dot" w:pos="9070"/>
        </w:tabs>
        <w:rPr>
          <w:sz w:val="28"/>
          <w:szCs w:val="36"/>
        </w:rPr>
      </w:pPr>
      <w:r>
        <w:rPr>
          <w:rFonts w:hint="eastAsia" w:ascii="仿宋" w:hAnsi="仿宋" w:eastAsia="仿宋"/>
          <w:sz w:val="28"/>
          <w:szCs w:val="56"/>
        </w:rPr>
        <w:fldChar w:fldCharType="begin"/>
      </w:r>
      <w:r>
        <w:rPr>
          <w:rFonts w:hint="eastAsia" w:ascii="仿宋" w:hAnsi="仿宋" w:eastAsia="仿宋"/>
          <w:sz w:val="28"/>
          <w:szCs w:val="56"/>
        </w:rPr>
        <w:instrText xml:space="preserve"> HYPERLINK \l _Toc23668 </w:instrText>
      </w:r>
      <w:r>
        <w:rPr>
          <w:rFonts w:hint="eastAsia" w:ascii="仿宋" w:hAnsi="仿宋" w:eastAsia="仿宋"/>
          <w:sz w:val="28"/>
          <w:szCs w:val="56"/>
        </w:rPr>
        <w:fldChar w:fldCharType="separate"/>
      </w:r>
      <w:r>
        <w:rPr>
          <w:rFonts w:hint="eastAsia"/>
          <w:sz w:val="28"/>
          <w:szCs w:val="36"/>
        </w:rPr>
        <w:t>第二部分 投标人须知</w:t>
      </w:r>
      <w:r>
        <w:rPr>
          <w:sz w:val="28"/>
          <w:szCs w:val="36"/>
        </w:rPr>
        <w:tab/>
      </w:r>
      <w:r>
        <w:rPr>
          <w:sz w:val="28"/>
          <w:szCs w:val="36"/>
        </w:rPr>
        <w:fldChar w:fldCharType="begin"/>
      </w:r>
      <w:r>
        <w:rPr>
          <w:sz w:val="28"/>
          <w:szCs w:val="36"/>
        </w:rPr>
        <w:instrText xml:space="preserve"> PAGEREF _Toc23668 \h </w:instrText>
      </w:r>
      <w:r>
        <w:rPr>
          <w:sz w:val="28"/>
          <w:szCs w:val="36"/>
        </w:rPr>
        <w:fldChar w:fldCharType="separate"/>
      </w:r>
      <w:r>
        <w:rPr>
          <w:sz w:val="28"/>
          <w:szCs w:val="36"/>
        </w:rPr>
        <w:t>4</w:t>
      </w:r>
      <w:r>
        <w:rPr>
          <w:sz w:val="28"/>
          <w:szCs w:val="36"/>
        </w:rPr>
        <w:fldChar w:fldCharType="end"/>
      </w:r>
      <w:r>
        <w:rPr>
          <w:rFonts w:hint="eastAsia" w:ascii="仿宋" w:hAnsi="仿宋" w:eastAsia="仿宋"/>
          <w:sz w:val="28"/>
          <w:szCs w:val="56"/>
        </w:rPr>
        <w:fldChar w:fldCharType="end"/>
      </w:r>
    </w:p>
    <w:p>
      <w:pPr>
        <w:pStyle w:val="13"/>
        <w:tabs>
          <w:tab w:val="right" w:leader="dot" w:pos="9070"/>
        </w:tabs>
        <w:rPr>
          <w:sz w:val="28"/>
          <w:szCs w:val="36"/>
        </w:rPr>
      </w:pPr>
      <w:r>
        <w:rPr>
          <w:rFonts w:hint="eastAsia" w:ascii="仿宋" w:hAnsi="仿宋" w:eastAsia="仿宋"/>
          <w:sz w:val="28"/>
          <w:szCs w:val="56"/>
        </w:rPr>
        <w:fldChar w:fldCharType="begin"/>
      </w:r>
      <w:r>
        <w:rPr>
          <w:rFonts w:hint="eastAsia" w:ascii="仿宋" w:hAnsi="仿宋" w:eastAsia="仿宋"/>
          <w:sz w:val="28"/>
          <w:szCs w:val="56"/>
        </w:rPr>
        <w:instrText xml:space="preserve"> HYPERLINK \l _Toc8399 </w:instrText>
      </w:r>
      <w:r>
        <w:rPr>
          <w:rFonts w:hint="eastAsia" w:ascii="仿宋" w:hAnsi="仿宋" w:eastAsia="仿宋"/>
          <w:sz w:val="28"/>
          <w:szCs w:val="56"/>
        </w:rPr>
        <w:fldChar w:fldCharType="separate"/>
      </w:r>
      <w:r>
        <w:rPr>
          <w:rFonts w:hint="eastAsia"/>
          <w:sz w:val="28"/>
          <w:szCs w:val="36"/>
        </w:rPr>
        <w:t>第三部分 开标及评标</w:t>
      </w:r>
      <w:r>
        <w:rPr>
          <w:sz w:val="28"/>
          <w:szCs w:val="36"/>
        </w:rPr>
        <w:tab/>
      </w:r>
      <w:r>
        <w:rPr>
          <w:sz w:val="28"/>
          <w:szCs w:val="36"/>
        </w:rPr>
        <w:fldChar w:fldCharType="begin"/>
      </w:r>
      <w:r>
        <w:rPr>
          <w:sz w:val="28"/>
          <w:szCs w:val="36"/>
        </w:rPr>
        <w:instrText xml:space="preserve"> PAGEREF _Toc8399 \h </w:instrText>
      </w:r>
      <w:r>
        <w:rPr>
          <w:sz w:val="28"/>
          <w:szCs w:val="36"/>
        </w:rPr>
        <w:fldChar w:fldCharType="separate"/>
      </w:r>
      <w:r>
        <w:rPr>
          <w:sz w:val="28"/>
          <w:szCs w:val="36"/>
        </w:rPr>
        <w:t>8</w:t>
      </w:r>
      <w:r>
        <w:rPr>
          <w:sz w:val="28"/>
          <w:szCs w:val="36"/>
        </w:rPr>
        <w:fldChar w:fldCharType="end"/>
      </w:r>
      <w:r>
        <w:rPr>
          <w:rFonts w:hint="eastAsia" w:ascii="仿宋" w:hAnsi="仿宋" w:eastAsia="仿宋"/>
          <w:sz w:val="28"/>
          <w:szCs w:val="56"/>
        </w:rPr>
        <w:fldChar w:fldCharType="end"/>
      </w:r>
    </w:p>
    <w:p>
      <w:pPr>
        <w:pStyle w:val="13"/>
        <w:tabs>
          <w:tab w:val="right" w:leader="dot" w:pos="9070"/>
        </w:tabs>
        <w:rPr>
          <w:sz w:val="28"/>
          <w:szCs w:val="36"/>
        </w:rPr>
      </w:pPr>
      <w:r>
        <w:rPr>
          <w:rFonts w:hint="eastAsia" w:ascii="仿宋" w:hAnsi="仿宋" w:eastAsia="仿宋"/>
          <w:sz w:val="28"/>
          <w:szCs w:val="56"/>
        </w:rPr>
        <w:fldChar w:fldCharType="begin"/>
      </w:r>
      <w:r>
        <w:rPr>
          <w:rFonts w:hint="eastAsia" w:ascii="仿宋" w:hAnsi="仿宋" w:eastAsia="仿宋"/>
          <w:sz w:val="28"/>
          <w:szCs w:val="56"/>
        </w:rPr>
        <w:instrText xml:space="preserve"> HYPERLINK \l _Toc137 </w:instrText>
      </w:r>
      <w:r>
        <w:rPr>
          <w:rFonts w:hint="eastAsia" w:ascii="仿宋" w:hAnsi="仿宋" w:eastAsia="仿宋"/>
          <w:sz w:val="28"/>
          <w:szCs w:val="56"/>
        </w:rPr>
        <w:fldChar w:fldCharType="separate"/>
      </w:r>
      <w:r>
        <w:rPr>
          <w:rFonts w:hint="eastAsia"/>
          <w:sz w:val="28"/>
          <w:szCs w:val="36"/>
        </w:rPr>
        <w:t>第四部分 授予合同</w:t>
      </w:r>
      <w:r>
        <w:rPr>
          <w:sz w:val="28"/>
          <w:szCs w:val="36"/>
        </w:rPr>
        <w:tab/>
      </w:r>
      <w:r>
        <w:rPr>
          <w:sz w:val="28"/>
          <w:szCs w:val="36"/>
        </w:rPr>
        <w:fldChar w:fldCharType="begin"/>
      </w:r>
      <w:r>
        <w:rPr>
          <w:sz w:val="28"/>
          <w:szCs w:val="36"/>
        </w:rPr>
        <w:instrText xml:space="preserve"> PAGEREF _Toc137 \h </w:instrText>
      </w:r>
      <w:r>
        <w:rPr>
          <w:sz w:val="28"/>
          <w:szCs w:val="36"/>
        </w:rPr>
        <w:fldChar w:fldCharType="separate"/>
      </w:r>
      <w:r>
        <w:rPr>
          <w:sz w:val="28"/>
          <w:szCs w:val="36"/>
        </w:rPr>
        <w:t>11</w:t>
      </w:r>
      <w:r>
        <w:rPr>
          <w:sz w:val="28"/>
          <w:szCs w:val="36"/>
        </w:rPr>
        <w:fldChar w:fldCharType="end"/>
      </w:r>
      <w:r>
        <w:rPr>
          <w:rFonts w:hint="eastAsia" w:ascii="仿宋" w:hAnsi="仿宋" w:eastAsia="仿宋"/>
          <w:sz w:val="28"/>
          <w:szCs w:val="56"/>
        </w:rPr>
        <w:fldChar w:fldCharType="end"/>
      </w:r>
    </w:p>
    <w:p>
      <w:pPr>
        <w:pStyle w:val="13"/>
        <w:tabs>
          <w:tab w:val="right" w:leader="dot" w:pos="9070"/>
        </w:tabs>
        <w:rPr>
          <w:sz w:val="28"/>
          <w:szCs w:val="36"/>
        </w:rPr>
      </w:pPr>
      <w:r>
        <w:rPr>
          <w:rFonts w:hint="eastAsia" w:ascii="仿宋" w:hAnsi="仿宋" w:eastAsia="仿宋"/>
          <w:sz w:val="28"/>
          <w:szCs w:val="56"/>
        </w:rPr>
        <w:fldChar w:fldCharType="begin"/>
      </w:r>
      <w:r>
        <w:rPr>
          <w:rFonts w:hint="eastAsia" w:ascii="仿宋" w:hAnsi="仿宋" w:eastAsia="仿宋"/>
          <w:sz w:val="28"/>
          <w:szCs w:val="56"/>
        </w:rPr>
        <w:instrText xml:space="preserve"> HYPERLINK \l _Toc27503 </w:instrText>
      </w:r>
      <w:r>
        <w:rPr>
          <w:rFonts w:hint="eastAsia" w:ascii="仿宋" w:hAnsi="仿宋" w:eastAsia="仿宋"/>
          <w:sz w:val="28"/>
          <w:szCs w:val="56"/>
        </w:rPr>
        <w:fldChar w:fldCharType="separate"/>
      </w:r>
      <w:r>
        <w:rPr>
          <w:rFonts w:hint="eastAsia"/>
          <w:sz w:val="28"/>
          <w:szCs w:val="40"/>
        </w:rPr>
        <w:t>附件一</w:t>
      </w:r>
      <w:r>
        <w:rPr>
          <w:sz w:val="28"/>
          <w:szCs w:val="36"/>
        </w:rPr>
        <w:tab/>
      </w:r>
      <w:r>
        <w:rPr>
          <w:sz w:val="28"/>
          <w:szCs w:val="36"/>
        </w:rPr>
        <w:fldChar w:fldCharType="begin"/>
      </w:r>
      <w:r>
        <w:rPr>
          <w:sz w:val="28"/>
          <w:szCs w:val="36"/>
        </w:rPr>
        <w:instrText xml:space="preserve"> PAGEREF _Toc27503 \h </w:instrText>
      </w:r>
      <w:r>
        <w:rPr>
          <w:sz w:val="28"/>
          <w:szCs w:val="36"/>
        </w:rPr>
        <w:fldChar w:fldCharType="separate"/>
      </w:r>
      <w:r>
        <w:rPr>
          <w:sz w:val="28"/>
          <w:szCs w:val="36"/>
        </w:rPr>
        <w:t>12</w:t>
      </w:r>
      <w:r>
        <w:rPr>
          <w:sz w:val="28"/>
          <w:szCs w:val="36"/>
        </w:rPr>
        <w:fldChar w:fldCharType="end"/>
      </w:r>
      <w:r>
        <w:rPr>
          <w:rFonts w:hint="eastAsia" w:ascii="仿宋" w:hAnsi="仿宋" w:eastAsia="仿宋"/>
          <w:sz w:val="28"/>
          <w:szCs w:val="56"/>
        </w:rPr>
        <w:fldChar w:fldCharType="end"/>
      </w:r>
    </w:p>
    <w:p>
      <w:pPr>
        <w:pStyle w:val="13"/>
        <w:tabs>
          <w:tab w:val="right" w:leader="dot" w:pos="9070"/>
        </w:tabs>
        <w:rPr>
          <w:sz w:val="28"/>
          <w:szCs w:val="36"/>
        </w:rPr>
      </w:pPr>
      <w:r>
        <w:rPr>
          <w:rFonts w:hint="eastAsia" w:ascii="仿宋" w:hAnsi="仿宋" w:eastAsia="仿宋"/>
          <w:sz w:val="28"/>
          <w:szCs w:val="56"/>
        </w:rPr>
        <w:fldChar w:fldCharType="begin"/>
      </w:r>
      <w:r>
        <w:rPr>
          <w:rFonts w:hint="eastAsia" w:ascii="仿宋" w:hAnsi="仿宋" w:eastAsia="仿宋"/>
          <w:sz w:val="28"/>
          <w:szCs w:val="56"/>
        </w:rPr>
        <w:instrText xml:space="preserve"> HYPERLINK \l _Toc6959 </w:instrText>
      </w:r>
      <w:r>
        <w:rPr>
          <w:rFonts w:hint="eastAsia" w:ascii="仿宋" w:hAnsi="仿宋" w:eastAsia="仿宋"/>
          <w:sz w:val="28"/>
          <w:szCs w:val="56"/>
        </w:rPr>
        <w:fldChar w:fldCharType="separate"/>
      </w:r>
      <w:r>
        <w:rPr>
          <w:rFonts w:hint="eastAsia"/>
          <w:sz w:val="28"/>
          <w:szCs w:val="40"/>
        </w:rPr>
        <w:t>附件二</w:t>
      </w:r>
      <w:r>
        <w:rPr>
          <w:sz w:val="28"/>
          <w:szCs w:val="36"/>
        </w:rPr>
        <w:tab/>
      </w:r>
      <w:r>
        <w:rPr>
          <w:sz w:val="28"/>
          <w:szCs w:val="36"/>
        </w:rPr>
        <w:fldChar w:fldCharType="begin"/>
      </w:r>
      <w:r>
        <w:rPr>
          <w:sz w:val="28"/>
          <w:szCs w:val="36"/>
        </w:rPr>
        <w:instrText xml:space="preserve"> PAGEREF _Toc6959 \h </w:instrText>
      </w:r>
      <w:r>
        <w:rPr>
          <w:sz w:val="28"/>
          <w:szCs w:val="36"/>
        </w:rPr>
        <w:fldChar w:fldCharType="separate"/>
      </w:r>
      <w:r>
        <w:rPr>
          <w:sz w:val="28"/>
          <w:szCs w:val="36"/>
        </w:rPr>
        <w:t>15</w:t>
      </w:r>
      <w:r>
        <w:rPr>
          <w:sz w:val="28"/>
          <w:szCs w:val="36"/>
        </w:rPr>
        <w:fldChar w:fldCharType="end"/>
      </w:r>
      <w:r>
        <w:rPr>
          <w:rFonts w:hint="eastAsia" w:ascii="仿宋" w:hAnsi="仿宋" w:eastAsia="仿宋"/>
          <w:sz w:val="28"/>
          <w:szCs w:val="56"/>
        </w:rPr>
        <w:fldChar w:fldCharType="end"/>
      </w:r>
    </w:p>
    <w:p>
      <w:pPr>
        <w:pStyle w:val="13"/>
        <w:tabs>
          <w:tab w:val="right" w:leader="dot" w:pos="9070"/>
        </w:tabs>
        <w:rPr>
          <w:sz w:val="28"/>
          <w:szCs w:val="36"/>
        </w:rPr>
      </w:pPr>
      <w:r>
        <w:rPr>
          <w:rFonts w:hint="eastAsia" w:ascii="仿宋" w:hAnsi="仿宋" w:eastAsia="仿宋"/>
          <w:sz w:val="28"/>
          <w:szCs w:val="56"/>
        </w:rPr>
        <w:fldChar w:fldCharType="begin"/>
      </w:r>
      <w:r>
        <w:rPr>
          <w:rFonts w:hint="eastAsia" w:ascii="仿宋" w:hAnsi="仿宋" w:eastAsia="仿宋"/>
          <w:sz w:val="28"/>
          <w:szCs w:val="56"/>
        </w:rPr>
        <w:instrText xml:space="preserve"> HYPERLINK \l _Toc20098 </w:instrText>
      </w:r>
      <w:r>
        <w:rPr>
          <w:rFonts w:hint="eastAsia" w:ascii="仿宋" w:hAnsi="仿宋" w:eastAsia="仿宋"/>
          <w:sz w:val="28"/>
          <w:szCs w:val="56"/>
        </w:rPr>
        <w:fldChar w:fldCharType="separate"/>
      </w:r>
      <w:r>
        <w:rPr>
          <w:rFonts w:hint="eastAsia"/>
          <w:sz w:val="28"/>
          <w:szCs w:val="40"/>
        </w:rPr>
        <w:t>附件三</w:t>
      </w:r>
      <w:r>
        <w:rPr>
          <w:sz w:val="28"/>
          <w:szCs w:val="36"/>
        </w:rPr>
        <w:tab/>
      </w:r>
      <w:r>
        <w:rPr>
          <w:sz w:val="28"/>
          <w:szCs w:val="36"/>
        </w:rPr>
        <w:fldChar w:fldCharType="begin"/>
      </w:r>
      <w:r>
        <w:rPr>
          <w:sz w:val="28"/>
          <w:szCs w:val="36"/>
        </w:rPr>
        <w:instrText xml:space="preserve"> PAGEREF _Toc20098 \h </w:instrText>
      </w:r>
      <w:r>
        <w:rPr>
          <w:sz w:val="28"/>
          <w:szCs w:val="36"/>
        </w:rPr>
        <w:fldChar w:fldCharType="separate"/>
      </w:r>
      <w:r>
        <w:rPr>
          <w:sz w:val="28"/>
          <w:szCs w:val="36"/>
        </w:rPr>
        <w:t>16</w:t>
      </w:r>
      <w:r>
        <w:rPr>
          <w:sz w:val="28"/>
          <w:szCs w:val="36"/>
        </w:rPr>
        <w:fldChar w:fldCharType="end"/>
      </w:r>
      <w:r>
        <w:rPr>
          <w:rFonts w:hint="eastAsia" w:ascii="仿宋" w:hAnsi="仿宋" w:eastAsia="仿宋"/>
          <w:sz w:val="28"/>
          <w:szCs w:val="56"/>
        </w:rPr>
        <w:fldChar w:fldCharType="end"/>
      </w:r>
    </w:p>
    <w:p>
      <w:pPr>
        <w:pStyle w:val="13"/>
        <w:tabs>
          <w:tab w:val="right" w:leader="dot" w:pos="9070"/>
        </w:tabs>
        <w:rPr>
          <w:sz w:val="28"/>
          <w:szCs w:val="36"/>
        </w:rPr>
      </w:pPr>
      <w:r>
        <w:rPr>
          <w:rFonts w:hint="eastAsia" w:ascii="仿宋" w:hAnsi="仿宋" w:eastAsia="仿宋"/>
          <w:sz w:val="28"/>
          <w:szCs w:val="56"/>
        </w:rPr>
        <w:fldChar w:fldCharType="begin"/>
      </w:r>
      <w:r>
        <w:rPr>
          <w:rFonts w:hint="eastAsia" w:ascii="仿宋" w:hAnsi="仿宋" w:eastAsia="仿宋"/>
          <w:sz w:val="28"/>
          <w:szCs w:val="56"/>
        </w:rPr>
        <w:instrText xml:space="preserve"> HYPERLINK \l _Toc28927 </w:instrText>
      </w:r>
      <w:r>
        <w:rPr>
          <w:rFonts w:hint="eastAsia" w:ascii="仿宋" w:hAnsi="仿宋" w:eastAsia="仿宋"/>
          <w:sz w:val="28"/>
          <w:szCs w:val="56"/>
        </w:rPr>
        <w:fldChar w:fldCharType="separate"/>
      </w:r>
      <w:r>
        <w:rPr>
          <w:rFonts w:hint="eastAsia"/>
          <w:sz w:val="28"/>
          <w:szCs w:val="36"/>
        </w:rPr>
        <w:t>附件四</w:t>
      </w:r>
      <w:r>
        <w:rPr>
          <w:sz w:val="28"/>
          <w:szCs w:val="36"/>
        </w:rPr>
        <w:tab/>
      </w:r>
      <w:r>
        <w:rPr>
          <w:sz w:val="28"/>
          <w:szCs w:val="36"/>
        </w:rPr>
        <w:fldChar w:fldCharType="begin"/>
      </w:r>
      <w:r>
        <w:rPr>
          <w:sz w:val="28"/>
          <w:szCs w:val="36"/>
        </w:rPr>
        <w:instrText xml:space="preserve"> PAGEREF _Toc28927 \h </w:instrText>
      </w:r>
      <w:r>
        <w:rPr>
          <w:sz w:val="28"/>
          <w:szCs w:val="36"/>
        </w:rPr>
        <w:fldChar w:fldCharType="separate"/>
      </w:r>
      <w:r>
        <w:rPr>
          <w:sz w:val="28"/>
          <w:szCs w:val="36"/>
        </w:rPr>
        <w:t>17</w:t>
      </w:r>
      <w:r>
        <w:rPr>
          <w:sz w:val="28"/>
          <w:szCs w:val="36"/>
        </w:rPr>
        <w:fldChar w:fldCharType="end"/>
      </w:r>
      <w:r>
        <w:rPr>
          <w:rFonts w:hint="eastAsia" w:ascii="仿宋" w:hAnsi="仿宋" w:eastAsia="仿宋"/>
          <w:sz w:val="28"/>
          <w:szCs w:val="56"/>
        </w:rPr>
        <w:fldChar w:fldCharType="end"/>
      </w:r>
    </w:p>
    <w:p>
      <w:pPr>
        <w:pStyle w:val="13"/>
        <w:tabs>
          <w:tab w:val="right" w:leader="dot" w:pos="9070"/>
        </w:tabs>
        <w:rPr>
          <w:sz w:val="28"/>
          <w:szCs w:val="36"/>
        </w:rPr>
      </w:pPr>
      <w:r>
        <w:rPr>
          <w:rFonts w:hint="eastAsia" w:ascii="仿宋" w:hAnsi="仿宋" w:eastAsia="仿宋"/>
          <w:sz w:val="28"/>
          <w:szCs w:val="56"/>
        </w:rPr>
        <w:fldChar w:fldCharType="begin"/>
      </w:r>
      <w:r>
        <w:rPr>
          <w:rFonts w:hint="eastAsia" w:ascii="仿宋" w:hAnsi="仿宋" w:eastAsia="仿宋"/>
          <w:sz w:val="28"/>
          <w:szCs w:val="56"/>
        </w:rPr>
        <w:instrText xml:space="preserve"> HYPERLINK \l _Toc1942 </w:instrText>
      </w:r>
      <w:r>
        <w:rPr>
          <w:rFonts w:hint="eastAsia" w:ascii="仿宋" w:hAnsi="仿宋" w:eastAsia="仿宋"/>
          <w:sz w:val="28"/>
          <w:szCs w:val="56"/>
        </w:rPr>
        <w:fldChar w:fldCharType="separate"/>
      </w:r>
      <w:r>
        <w:rPr>
          <w:rFonts w:hint="eastAsia"/>
          <w:sz w:val="28"/>
          <w:szCs w:val="36"/>
        </w:rPr>
        <w:t>附件五</w:t>
      </w:r>
      <w:r>
        <w:rPr>
          <w:sz w:val="28"/>
          <w:szCs w:val="36"/>
        </w:rPr>
        <w:tab/>
      </w:r>
      <w:r>
        <w:rPr>
          <w:sz w:val="28"/>
          <w:szCs w:val="36"/>
        </w:rPr>
        <w:fldChar w:fldCharType="begin"/>
      </w:r>
      <w:r>
        <w:rPr>
          <w:sz w:val="28"/>
          <w:szCs w:val="36"/>
        </w:rPr>
        <w:instrText xml:space="preserve"> PAGEREF _Toc1942 \h </w:instrText>
      </w:r>
      <w:r>
        <w:rPr>
          <w:sz w:val="28"/>
          <w:szCs w:val="36"/>
        </w:rPr>
        <w:fldChar w:fldCharType="separate"/>
      </w:r>
      <w:r>
        <w:rPr>
          <w:sz w:val="28"/>
          <w:szCs w:val="36"/>
        </w:rPr>
        <w:t>18</w:t>
      </w:r>
      <w:r>
        <w:rPr>
          <w:sz w:val="28"/>
          <w:szCs w:val="36"/>
        </w:rPr>
        <w:fldChar w:fldCharType="end"/>
      </w:r>
      <w:r>
        <w:rPr>
          <w:rFonts w:hint="eastAsia" w:ascii="仿宋" w:hAnsi="仿宋" w:eastAsia="仿宋"/>
          <w:sz w:val="28"/>
          <w:szCs w:val="56"/>
        </w:rPr>
        <w:fldChar w:fldCharType="end"/>
      </w:r>
    </w:p>
    <w:p>
      <w:pPr>
        <w:pStyle w:val="13"/>
        <w:tabs>
          <w:tab w:val="right" w:leader="dot" w:pos="9070"/>
        </w:tabs>
        <w:rPr>
          <w:sz w:val="28"/>
          <w:szCs w:val="36"/>
        </w:rPr>
      </w:pPr>
      <w:r>
        <w:rPr>
          <w:rFonts w:hint="eastAsia" w:ascii="仿宋" w:hAnsi="仿宋" w:eastAsia="仿宋"/>
          <w:sz w:val="28"/>
          <w:szCs w:val="56"/>
        </w:rPr>
        <w:fldChar w:fldCharType="begin"/>
      </w:r>
      <w:r>
        <w:rPr>
          <w:rFonts w:hint="eastAsia" w:ascii="仿宋" w:hAnsi="仿宋" w:eastAsia="仿宋"/>
          <w:sz w:val="28"/>
          <w:szCs w:val="56"/>
        </w:rPr>
        <w:instrText xml:space="preserve"> HYPERLINK \l _Toc28505 </w:instrText>
      </w:r>
      <w:r>
        <w:rPr>
          <w:rFonts w:hint="eastAsia" w:ascii="仿宋" w:hAnsi="仿宋" w:eastAsia="仿宋"/>
          <w:sz w:val="28"/>
          <w:szCs w:val="56"/>
        </w:rPr>
        <w:fldChar w:fldCharType="separate"/>
      </w:r>
      <w:r>
        <w:rPr>
          <w:rFonts w:hint="eastAsia"/>
          <w:sz w:val="28"/>
          <w:szCs w:val="36"/>
        </w:rPr>
        <w:t>附件六</w:t>
      </w:r>
      <w:r>
        <w:rPr>
          <w:sz w:val="28"/>
          <w:szCs w:val="36"/>
        </w:rPr>
        <w:tab/>
      </w:r>
      <w:r>
        <w:rPr>
          <w:sz w:val="28"/>
          <w:szCs w:val="36"/>
        </w:rPr>
        <w:fldChar w:fldCharType="begin"/>
      </w:r>
      <w:r>
        <w:rPr>
          <w:sz w:val="28"/>
          <w:szCs w:val="36"/>
        </w:rPr>
        <w:instrText xml:space="preserve"> PAGEREF _Toc28505 \h </w:instrText>
      </w:r>
      <w:r>
        <w:rPr>
          <w:sz w:val="28"/>
          <w:szCs w:val="36"/>
        </w:rPr>
        <w:fldChar w:fldCharType="separate"/>
      </w:r>
      <w:r>
        <w:rPr>
          <w:sz w:val="28"/>
          <w:szCs w:val="36"/>
        </w:rPr>
        <w:t>19</w:t>
      </w:r>
      <w:r>
        <w:rPr>
          <w:sz w:val="28"/>
          <w:szCs w:val="36"/>
        </w:rPr>
        <w:fldChar w:fldCharType="end"/>
      </w:r>
      <w:r>
        <w:rPr>
          <w:rFonts w:hint="eastAsia" w:ascii="仿宋" w:hAnsi="仿宋" w:eastAsia="仿宋"/>
          <w:sz w:val="28"/>
          <w:szCs w:val="56"/>
        </w:rPr>
        <w:fldChar w:fldCharType="end"/>
      </w:r>
    </w:p>
    <w:p>
      <w:pPr>
        <w:rPr>
          <w:rFonts w:hint="eastAsia"/>
          <w:b/>
        </w:rPr>
      </w:pPr>
      <w:r>
        <w:rPr>
          <w:rFonts w:hint="eastAsia" w:ascii="仿宋" w:hAnsi="仿宋" w:eastAsia="仿宋"/>
          <w:sz w:val="28"/>
          <w:szCs w:val="56"/>
        </w:rPr>
        <w:fldChar w:fldCharType="end"/>
      </w:r>
    </w:p>
    <w:p>
      <w:pPr>
        <w:pStyle w:val="2"/>
        <w:jc w:val="left"/>
        <w:rPr>
          <w:rFonts w:hint="eastAsia"/>
        </w:rPr>
      </w:pPr>
      <w:bookmarkStart w:id="0" w:name="_Toc26613960"/>
      <w:r>
        <w:rPr>
          <w:rFonts w:hint="eastAsia"/>
        </w:rPr>
        <w:br w:type="page"/>
      </w:r>
      <w:bookmarkStart w:id="1" w:name="_Toc13333"/>
      <w:r>
        <w:rPr>
          <w:rFonts w:hint="eastAsia"/>
        </w:rPr>
        <w:t>第一部分 招标邀请</w:t>
      </w:r>
      <w:bookmarkEnd w:id="0"/>
      <w:bookmarkEnd w:id="1"/>
    </w:p>
    <w:p>
      <w:pPr>
        <w:jc w:val="center"/>
        <w:rPr>
          <w:sz w:val="32"/>
          <w:szCs w:val="32"/>
        </w:rPr>
      </w:pPr>
      <w:r>
        <w:rPr>
          <w:rFonts w:hint="eastAsia"/>
          <w:sz w:val="32"/>
          <w:szCs w:val="32"/>
        </w:rPr>
        <w:t>南南铝业股份有限公司</w:t>
      </w:r>
    </w:p>
    <w:p>
      <w:pPr>
        <w:jc w:val="center"/>
        <w:rPr>
          <w:rFonts w:hint="eastAsia"/>
          <w:sz w:val="32"/>
          <w:szCs w:val="32"/>
        </w:rPr>
      </w:pPr>
      <w:r>
        <w:rPr>
          <w:rFonts w:hint="eastAsia"/>
          <w:sz w:val="32"/>
          <w:szCs w:val="32"/>
        </w:rPr>
        <w:t>招标邀请函</w:t>
      </w:r>
    </w:p>
    <w:p>
      <w:pPr>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各投标单位 ：                    </w:t>
      </w:r>
      <w:r>
        <w:rPr>
          <w:rFonts w:ascii="仿宋" w:hAnsi="仿宋" w:eastAsia="仿宋" w:cs="仿宋"/>
          <w:color w:val="000000"/>
          <w:kern w:val="0"/>
          <w:sz w:val="28"/>
          <w:szCs w:val="28"/>
        </w:rPr>
        <w:t xml:space="preserve"> </w:t>
      </w:r>
      <w:bookmarkStart w:id="24" w:name="_GoBack"/>
      <w:bookmarkEnd w:id="24"/>
    </w:p>
    <w:p>
      <w:pPr>
        <w:tabs>
          <w:tab w:val="left" w:pos="1620"/>
          <w:tab w:val="left" w:pos="2880"/>
        </w:tabs>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我司</w:t>
      </w:r>
      <w:r>
        <w:rPr>
          <w:rFonts w:hint="eastAsia" w:ascii="仿宋" w:hAnsi="仿宋" w:eastAsia="仿宋" w:cs="仿宋"/>
          <w:color w:val="000000"/>
          <w:kern w:val="0"/>
          <w:sz w:val="28"/>
          <w:szCs w:val="28"/>
          <w:u w:val="single"/>
        </w:rPr>
        <w:t xml:space="preserve"> 数据中心存储服务器采购项目 </w:t>
      </w:r>
      <w:r>
        <w:rPr>
          <w:rFonts w:hint="eastAsia" w:ascii="仿宋" w:hAnsi="仿宋" w:eastAsia="仿宋" w:cs="仿宋"/>
          <w:color w:val="000000"/>
          <w:kern w:val="0"/>
          <w:sz w:val="28"/>
          <w:szCs w:val="28"/>
        </w:rPr>
        <w:t>招标工作现已启动，经资格预审，特邀请贵公司参与投标，现随函附上相关资料，请查核签收后按我司要求提交投标资料。</w:t>
      </w:r>
    </w:p>
    <w:p>
      <w:pPr>
        <w:tabs>
          <w:tab w:val="left" w:pos="1620"/>
          <w:tab w:val="left" w:pos="2880"/>
        </w:tabs>
        <w:rPr>
          <w:rFonts w:hint="eastAsia" w:eastAsia="仿宋"/>
          <w:bCs/>
          <w:sz w:val="28"/>
          <w:szCs w:val="28"/>
        </w:rPr>
      </w:pPr>
      <w:r>
        <w:rPr>
          <w:rFonts w:hint="eastAsia" w:ascii="仿宋" w:hAnsi="仿宋" w:eastAsia="仿宋" w:cs="仿宋"/>
          <w:color w:val="000000"/>
          <w:kern w:val="0"/>
          <w:sz w:val="28"/>
          <w:szCs w:val="28"/>
        </w:rPr>
        <w:t>1.项目编号：NNLY-FZ-20230317</w:t>
      </w:r>
    </w:p>
    <w:p>
      <w:pP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2.招标项目：数据中心存储服务器采购项目</w:t>
      </w:r>
    </w:p>
    <w:p>
      <w:pPr>
        <w:rPr>
          <w:rFonts w:ascii="仿宋" w:hAnsi="仿宋" w:eastAsia="仿宋" w:cs="仿宋"/>
          <w:color w:val="000000"/>
          <w:kern w:val="0"/>
          <w:sz w:val="28"/>
          <w:szCs w:val="28"/>
          <w:u w:val="single"/>
        </w:rPr>
      </w:pPr>
      <w:r>
        <w:rPr>
          <w:rFonts w:hint="eastAsia" w:ascii="仿宋" w:hAnsi="仿宋" w:eastAsia="仿宋" w:cs="仿宋"/>
          <w:color w:val="000000"/>
          <w:kern w:val="0"/>
          <w:sz w:val="28"/>
          <w:szCs w:val="28"/>
        </w:rPr>
        <w:t>3.业务联系电话：</w:t>
      </w:r>
      <w:r>
        <w:rPr>
          <w:rFonts w:hint="eastAsia" w:ascii="仿宋" w:hAnsi="仿宋" w:eastAsia="仿宋" w:cs="仿宋"/>
          <w:color w:val="000000"/>
          <w:kern w:val="0"/>
          <w:sz w:val="28"/>
          <w:szCs w:val="28"/>
          <w:u w:val="single"/>
        </w:rPr>
        <w:t>18507718865</w:t>
      </w:r>
    </w:p>
    <w:p>
      <w:pPr>
        <w:rPr>
          <w:rFonts w:ascii="仿宋" w:hAnsi="仿宋" w:eastAsia="仿宋" w:cs="仿宋"/>
          <w:color w:val="000000"/>
          <w:kern w:val="0"/>
          <w:sz w:val="28"/>
          <w:szCs w:val="28"/>
        </w:rPr>
      </w:pPr>
      <w:r>
        <w:rPr>
          <w:rFonts w:hint="eastAsia" w:ascii="仿宋" w:hAnsi="仿宋" w:eastAsia="仿宋" w:cs="仿宋"/>
          <w:color w:val="000000"/>
          <w:kern w:val="0"/>
          <w:sz w:val="28"/>
          <w:szCs w:val="28"/>
        </w:rPr>
        <w:t>4.业务联系人：</w:t>
      </w:r>
      <w:r>
        <w:rPr>
          <w:rFonts w:hint="eastAsia" w:ascii="仿宋" w:hAnsi="仿宋" w:eastAsia="仿宋" w:cs="仿宋"/>
          <w:color w:val="000000"/>
          <w:kern w:val="0"/>
          <w:sz w:val="28"/>
          <w:szCs w:val="28"/>
          <w:u w:val="single"/>
        </w:rPr>
        <w:t xml:space="preserve">裴羽珂 </w:t>
      </w:r>
    </w:p>
    <w:p>
      <w:pP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5.投标截止时间：截止</w:t>
      </w:r>
      <w:r>
        <w:rPr>
          <w:rFonts w:hint="eastAsia" w:ascii="仿宋" w:hAnsi="仿宋" w:eastAsia="仿宋" w:cs="仿宋"/>
          <w:color w:val="000000"/>
          <w:kern w:val="0"/>
          <w:sz w:val="28"/>
          <w:szCs w:val="28"/>
          <w:u w:val="single"/>
        </w:rPr>
        <w:t>202</w:t>
      </w:r>
      <w:r>
        <w:rPr>
          <w:rFonts w:hint="eastAsia" w:ascii="仿宋" w:hAnsi="仿宋" w:eastAsia="仿宋" w:cs="仿宋"/>
          <w:color w:val="000000"/>
          <w:kern w:val="0"/>
          <w:sz w:val="28"/>
          <w:szCs w:val="28"/>
          <w:u w:val="single"/>
          <w:lang w:val="en-US" w:eastAsia="zh-CN"/>
        </w:rPr>
        <w:t>3</w:t>
      </w:r>
      <w:r>
        <w:rPr>
          <w:rFonts w:hint="eastAsia" w:ascii="仿宋" w:hAnsi="仿宋" w:eastAsia="仿宋" w:cs="仿宋"/>
          <w:color w:val="000000"/>
          <w:kern w:val="0"/>
          <w:sz w:val="28"/>
          <w:szCs w:val="28"/>
          <w:u w:val="single"/>
        </w:rPr>
        <w:t xml:space="preserve">年 </w:t>
      </w:r>
      <w:r>
        <w:rPr>
          <w:rFonts w:hint="eastAsia" w:ascii="仿宋" w:hAnsi="仿宋" w:eastAsia="仿宋" w:cs="仿宋"/>
          <w:color w:val="000000"/>
          <w:kern w:val="0"/>
          <w:sz w:val="28"/>
          <w:szCs w:val="28"/>
          <w:u w:val="single"/>
          <w:lang w:val="en-US" w:eastAsia="zh-CN"/>
        </w:rPr>
        <w:t>3</w:t>
      </w:r>
      <w:r>
        <w:rPr>
          <w:rFonts w:hint="eastAsia" w:ascii="仿宋" w:hAnsi="仿宋" w:eastAsia="仿宋" w:cs="仿宋"/>
          <w:color w:val="000000"/>
          <w:kern w:val="0"/>
          <w:sz w:val="28"/>
          <w:szCs w:val="28"/>
          <w:u w:val="single"/>
        </w:rPr>
        <w:t xml:space="preserve"> 月 </w:t>
      </w:r>
      <w:r>
        <w:rPr>
          <w:rFonts w:hint="eastAsia" w:ascii="仿宋" w:hAnsi="仿宋" w:eastAsia="仿宋" w:cs="仿宋"/>
          <w:color w:val="000000"/>
          <w:kern w:val="0"/>
          <w:sz w:val="28"/>
          <w:szCs w:val="28"/>
          <w:u w:val="single"/>
          <w:lang w:val="en-US" w:eastAsia="zh-CN"/>
        </w:rPr>
        <w:t>27</w:t>
      </w:r>
      <w:r>
        <w:rPr>
          <w:rFonts w:hint="eastAsia" w:ascii="仿宋" w:hAnsi="仿宋" w:eastAsia="仿宋" w:cs="仿宋"/>
          <w:color w:val="000000"/>
          <w:kern w:val="0"/>
          <w:sz w:val="28"/>
          <w:szCs w:val="28"/>
          <w:u w:val="single"/>
        </w:rPr>
        <w:t xml:space="preserve"> 日 </w:t>
      </w:r>
      <w:r>
        <w:rPr>
          <w:rFonts w:hint="eastAsia" w:ascii="仿宋" w:hAnsi="仿宋" w:eastAsia="仿宋" w:cs="仿宋"/>
          <w:color w:val="000000"/>
          <w:kern w:val="0"/>
          <w:sz w:val="28"/>
          <w:szCs w:val="28"/>
          <w:u w:val="single"/>
          <w:lang w:val="en-US" w:eastAsia="zh-CN"/>
        </w:rPr>
        <w:t>12</w:t>
      </w:r>
      <w:r>
        <w:rPr>
          <w:rFonts w:hint="eastAsia" w:ascii="仿宋" w:hAnsi="仿宋" w:eastAsia="仿宋" w:cs="仿宋"/>
          <w:color w:val="000000"/>
          <w:kern w:val="0"/>
          <w:sz w:val="28"/>
          <w:szCs w:val="28"/>
          <w:u w:val="single"/>
        </w:rPr>
        <w:t xml:space="preserve"> 时</w:t>
      </w:r>
      <w:r>
        <w:rPr>
          <w:rFonts w:hint="eastAsia" w:ascii="仿宋" w:hAnsi="仿宋" w:eastAsia="仿宋" w:cs="仿宋"/>
          <w:color w:val="000000"/>
          <w:kern w:val="0"/>
          <w:sz w:val="28"/>
          <w:szCs w:val="28"/>
        </w:rPr>
        <w:t xml:space="preserve"> </w:t>
      </w:r>
    </w:p>
    <w:p>
      <w:pP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6.标书送达地址：南宁市邕宁区仁信路南南铝业总部大楼A栋1楼综合办公室 （直送或邮寄） 联系电话：0771-2193003。</w:t>
      </w:r>
    </w:p>
    <w:p>
      <w:pP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7.招标细项详见附件一。    </w:t>
      </w:r>
    </w:p>
    <w:p>
      <w:pPr>
        <w:rPr>
          <w:rFonts w:hint="eastAsia" w:ascii="仿宋" w:hAnsi="仿宋" w:eastAsia="仿宋" w:cs="仿宋"/>
          <w:color w:val="000000"/>
          <w:kern w:val="0"/>
          <w:sz w:val="28"/>
          <w:szCs w:val="28"/>
        </w:rPr>
      </w:pPr>
    </w:p>
    <w:p>
      <w:pPr>
        <w:rPr>
          <w:rFonts w:hint="eastAsia" w:ascii="仿宋" w:hAnsi="仿宋" w:eastAsia="仿宋" w:cs="仿宋"/>
          <w:color w:val="000000"/>
          <w:kern w:val="0"/>
          <w:sz w:val="28"/>
          <w:szCs w:val="28"/>
        </w:rPr>
      </w:pPr>
    </w:p>
    <w:p>
      <w:pPr>
        <w:rPr>
          <w:rFonts w:hint="eastAsia" w:ascii="仿宋" w:hAnsi="仿宋" w:eastAsia="仿宋" w:cs="仿宋"/>
          <w:color w:val="000000"/>
          <w:kern w:val="0"/>
          <w:sz w:val="28"/>
          <w:szCs w:val="28"/>
        </w:rPr>
      </w:pPr>
    </w:p>
    <w:p>
      <w:pPr>
        <w:rPr>
          <w:rFonts w:hint="eastAsia" w:ascii="仿宋" w:hAnsi="仿宋" w:eastAsia="仿宋" w:cs="仿宋"/>
          <w:color w:val="000000"/>
          <w:kern w:val="0"/>
          <w:sz w:val="28"/>
          <w:szCs w:val="28"/>
        </w:rPr>
      </w:pPr>
    </w:p>
    <w:p>
      <w:pPr>
        <w:rPr>
          <w:rFonts w:hint="eastAsia" w:ascii="仿宋" w:hAnsi="仿宋" w:eastAsia="仿宋" w:cs="仿宋"/>
          <w:color w:val="000000"/>
          <w:kern w:val="0"/>
          <w:sz w:val="28"/>
          <w:szCs w:val="28"/>
        </w:rPr>
      </w:pPr>
    </w:p>
    <w:p>
      <w:pPr>
        <w:rPr>
          <w:rFonts w:hint="eastAsia" w:ascii="仿宋" w:hAnsi="仿宋" w:eastAsia="仿宋" w:cs="仿宋"/>
          <w:color w:val="000000"/>
          <w:kern w:val="0"/>
          <w:sz w:val="28"/>
          <w:szCs w:val="28"/>
        </w:rPr>
      </w:pPr>
    </w:p>
    <w:p>
      <w:pPr>
        <w:pStyle w:val="2"/>
        <w:jc w:val="left"/>
        <w:rPr>
          <w:rFonts w:hint="eastAsia" w:ascii="Times New Roman" w:hAnsi="Times New Roman" w:cs="Times New Roman"/>
          <w:b/>
          <w:bCs/>
        </w:rPr>
      </w:pPr>
      <w:r>
        <w:br w:type="page"/>
      </w:r>
      <w:bookmarkStart w:id="2" w:name="_Toc23668"/>
      <w:bookmarkStart w:id="3" w:name="_Toc26613962"/>
      <w:r>
        <w:rPr>
          <w:rFonts w:hint="eastAsia" w:ascii="Times New Roman" w:hAnsi="Times New Roman" w:cs="Times New Roman"/>
          <w:b/>
          <w:bCs/>
        </w:rPr>
        <w:t>第二部分 投标人须知</w:t>
      </w:r>
      <w:bookmarkEnd w:id="2"/>
      <w:bookmarkEnd w:id="3"/>
    </w:p>
    <w:p>
      <w:pPr>
        <w:pStyle w:val="3"/>
        <w:jc w:val="left"/>
        <w:rPr>
          <w:rFonts w:hint="eastAsia"/>
        </w:rPr>
      </w:pPr>
      <w:r>
        <w:rPr>
          <w:rFonts w:hint="eastAsia"/>
        </w:rPr>
        <w:t>一、说明</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1．投标单位应当按照招标文件的要求编制投标书。</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2．投标方代表如不是法人代表，须提交《法人代表授权书》和本人身份证复印件。</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3．无论招标的过程和结果如何，投标方自行承担参加投标有关的全部费用。</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pPr>
        <w:ind w:firstLine="562" w:firstLineChars="20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5.投标方应足额缴纳投标保证金</w:t>
      </w:r>
      <w:r>
        <w:rPr>
          <w:rFonts w:hint="eastAsia" w:ascii="仿宋" w:hAnsi="仿宋" w:eastAsia="仿宋" w:cs="仿宋"/>
          <w:b/>
          <w:color w:val="000000"/>
          <w:kern w:val="0"/>
          <w:sz w:val="28"/>
          <w:szCs w:val="28"/>
          <w:u w:val="single"/>
        </w:rPr>
        <w:t xml:space="preserve"> </w:t>
      </w:r>
      <w:r>
        <w:rPr>
          <w:rFonts w:hint="eastAsia" w:ascii="仿宋" w:hAnsi="仿宋" w:eastAsia="仿宋" w:cs="仿宋"/>
          <w:b/>
          <w:color w:val="000000"/>
          <w:kern w:val="0"/>
          <w:sz w:val="28"/>
          <w:szCs w:val="28"/>
          <w:u w:val="single"/>
          <w:lang w:val="en-US" w:eastAsia="zh-CN"/>
        </w:rPr>
        <w:t>伍</w:t>
      </w:r>
      <w:r>
        <w:rPr>
          <w:rFonts w:hint="eastAsia" w:ascii="仿宋" w:hAnsi="仿宋" w:eastAsia="仿宋" w:cs="仿宋"/>
          <w:b/>
          <w:color w:val="000000"/>
          <w:kern w:val="0"/>
          <w:sz w:val="28"/>
          <w:szCs w:val="28"/>
          <w:u w:val="single"/>
        </w:rPr>
        <w:t>仟 元</w:t>
      </w:r>
      <w:r>
        <w:rPr>
          <w:rFonts w:hint="eastAsia" w:ascii="仿宋" w:hAnsi="仿宋" w:eastAsia="仿宋" w:cs="仿宋"/>
          <w:b/>
          <w:color w:val="000000"/>
          <w:kern w:val="0"/>
          <w:sz w:val="28"/>
          <w:szCs w:val="28"/>
        </w:rPr>
        <w:t>整。未中标方的投标保证金将在十个工作日内退还；因中标方原因不履行合同的投标保证金将做违约罚没处理。</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公司名称：南南铝业股份有限公司</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开户行：交通银行南宁福建园支行 </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帐号：451060501018000002994</w:t>
      </w:r>
    </w:p>
    <w:p>
      <w:pPr>
        <w:pStyle w:val="27"/>
        <w:ind w:firstLine="560"/>
        <w:rPr>
          <w:rFonts w:ascii="仿宋" w:hAnsi="仿宋" w:eastAsia="仿宋" w:cs="仿宋"/>
          <w:color w:val="000000"/>
          <w:kern w:val="0"/>
          <w:sz w:val="28"/>
          <w:szCs w:val="28"/>
        </w:rPr>
      </w:pPr>
      <w:r>
        <w:rPr>
          <w:rFonts w:hint="eastAsia" w:ascii="仿宋" w:hAnsi="仿宋" w:eastAsia="仿宋" w:cs="仿宋"/>
          <w:color w:val="000000"/>
          <w:kern w:val="0"/>
          <w:sz w:val="28"/>
          <w:szCs w:val="28"/>
        </w:rPr>
        <w:t>6．风险提示：各投标方应慎重考虑投资风险，如遇市场调节或其他外部因素有可能导致邀标方任务量不足而减少采购量。</w:t>
      </w:r>
    </w:p>
    <w:p>
      <w:pPr>
        <w:pStyle w:val="3"/>
        <w:jc w:val="left"/>
        <w:rPr>
          <w:rFonts w:hint="eastAsia"/>
        </w:rPr>
      </w:pPr>
      <w:r>
        <w:rPr>
          <w:rFonts w:hint="eastAsia"/>
        </w:rPr>
        <w:t>二、招标文件</w:t>
      </w:r>
    </w:p>
    <w:p>
      <w:pPr>
        <w:numPr>
          <w:ilvl w:val="0"/>
          <w:numId w:val="1"/>
        </w:num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招标文件的构成</w:t>
      </w:r>
    </w:p>
    <w:p>
      <w:pPr>
        <w:numPr>
          <w:ilvl w:val="0"/>
          <w:numId w:val="2"/>
        </w:num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招标邀请</w:t>
      </w:r>
    </w:p>
    <w:p>
      <w:pPr>
        <w:numPr>
          <w:ilvl w:val="0"/>
          <w:numId w:val="2"/>
        </w:numPr>
        <w:ind w:firstLine="560" w:firstLineChars="200"/>
        <w:rPr>
          <w:rFonts w:hint="eastAsia" w:ascii="仿宋" w:hAnsi="仿宋" w:eastAsia="仿宋" w:cs="仿宋"/>
          <w:color w:val="000000"/>
          <w:kern w:val="0"/>
          <w:sz w:val="28"/>
          <w:szCs w:val="28"/>
        </w:rPr>
      </w:pPr>
      <w:r>
        <w:rPr>
          <w:rFonts w:ascii="仿宋" w:hAnsi="仿宋" w:eastAsia="仿宋" w:cs="仿宋"/>
          <w:color w:val="000000"/>
          <w:kern w:val="0"/>
          <w:sz w:val="28"/>
          <w:szCs w:val="28"/>
        </w:rPr>
        <w:t>投标人须知</w:t>
      </w:r>
    </w:p>
    <w:p>
      <w:pPr>
        <w:numPr>
          <w:ilvl w:val="0"/>
          <w:numId w:val="2"/>
        </w:numPr>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开标及评标</w:t>
      </w:r>
    </w:p>
    <w:p>
      <w:pPr>
        <w:numPr>
          <w:ilvl w:val="0"/>
          <w:numId w:val="2"/>
        </w:num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授予合同</w:t>
      </w:r>
    </w:p>
    <w:p>
      <w:pPr>
        <w:numPr>
          <w:ilvl w:val="0"/>
          <w:numId w:val="2"/>
        </w:num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附件</w:t>
      </w:r>
    </w:p>
    <w:p>
      <w:pPr>
        <w:numPr>
          <w:ilvl w:val="0"/>
          <w:numId w:val="3"/>
        </w:num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招标文件的澄清</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p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（三）招标文件的修改</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在投标截止时间前，邀标方有权修改招标文件，并以书面形式通知投标方。修改的文件作为招标文件的补充和组成部分，对所有投标方均有约束力；</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为使投标方有足够的时间按招标修改文件要求修改投标文件，邀标方可酌情推迟投标截止时间和开标时间，并将此变更书面通知各投标方。</w:t>
      </w:r>
    </w:p>
    <w:p>
      <w:pPr>
        <w:pStyle w:val="3"/>
        <w:jc w:val="left"/>
        <w:rPr>
          <w:rFonts w:hint="eastAsia"/>
        </w:rPr>
      </w:pPr>
      <w:r>
        <w:rPr>
          <w:rFonts w:hint="eastAsia"/>
        </w:rPr>
        <w:t>三、投标文件</w:t>
      </w:r>
    </w:p>
    <w:p>
      <w:p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（一）文字要求</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投标方提交的投标书以及投标方与邀标方就有关投标的所有来往函电均应使用中文。投标方可以提交用其它语言印制的资料，但必须译成中文，在有差异和矛盾时以中文为准。</w:t>
      </w:r>
    </w:p>
    <w:p>
      <w:p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（二）编写要求</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投标方应仔细阅读招标文件中的所有内容，按照招标文件要求详细编制投标文件，并保证投标文件的正确性和真实性。</w:t>
      </w:r>
    </w:p>
    <w:p>
      <w:p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（三）无效投标处理</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不按招标文件的要求提供的投标文件，邀标方有权按无效标处理。</w:t>
      </w:r>
    </w:p>
    <w:p>
      <w:pPr>
        <w:ind w:firstLine="562" w:firstLineChars="200"/>
        <w:outlineLvl w:val="2"/>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（四）投标文件的组成</w:t>
      </w:r>
    </w:p>
    <w:p>
      <w:pPr>
        <w:ind w:firstLine="562" w:firstLineChars="20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 xml:space="preserve">4.1投标函 </w:t>
      </w:r>
    </w:p>
    <w:p>
      <w:pPr>
        <w:ind w:firstLine="562" w:firstLineChars="20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4.2投标项目报价文件</w:t>
      </w:r>
    </w:p>
    <w:p>
      <w:pPr>
        <w:ind w:firstLine="562" w:firstLineChars="20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4.3投标单位资质证明文件：法人代表授权书、投标人身份证复印件、企业营业执照复印件、组织机构代码证复印件、税务登记证复印件等。</w:t>
      </w:r>
    </w:p>
    <w:p>
      <w:pPr>
        <w:ind w:firstLine="562" w:firstLineChars="20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4.4投标保证金转款银行回单复印件。</w:t>
      </w:r>
    </w:p>
    <w:p>
      <w:pPr>
        <w:ind w:firstLine="562" w:firstLineChars="20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4.5投标书应填写招标项目全称、投标文件有目录、加盖公章以及投标单位法人代表或授权代表签字盖章。</w:t>
      </w:r>
    </w:p>
    <w:p>
      <w:pPr>
        <w:ind w:firstLine="562" w:firstLineChars="20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4.6投标书一式二份，正本、副本均须印制，分别装袋密封，封口处加盖公章，投标项目报价表装袋密封。</w:t>
      </w:r>
    </w:p>
    <w:p>
      <w:pPr>
        <w:ind w:firstLine="560" w:firstLineChars="200"/>
        <w:outlineLvl w:val="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 投标方对邀标方应尽的保密义务</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5.1开标后直到授予投标方合同止，凡是属于审查、澄清、评价和比较投标的有关资料以及授标意向等，均不得向投标方或其他无关人员透露。</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5.2在评标前后和评标期间，投标方企图影响邀标方的任何活动，将导致投标被拒绝，并承担相应的法律责任。</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5.3投标方应严格保密邀标方提供的邀标文件，未经邀标方许可，投标方不得向第三方泄密，如经查实投标方违反本约定，邀标方将取消投标方的投标资格。</w:t>
      </w:r>
    </w:p>
    <w:p>
      <w:p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（六）投标文件的修改和撤回</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6.1投标方在投标以后如必须修改或撤回投标文件，必须在投标截止时间以前将书面的投标修改文件或撤标通知送达邀标方。</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6.2投标修改文件必须密封，在密封袋上写明招标项目名称、投标方名称、加盖投标方企业公章，并注明“修改文件”字样。</w:t>
      </w:r>
      <w:bookmarkStart w:id="4" w:name="_Toc409105638"/>
    </w:p>
    <w:p>
      <w:p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（七）无效投标</w:t>
      </w:r>
      <w:bookmarkEnd w:id="4"/>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7.1在投标截止时间以后送达的投标文件；</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7.2未按招标文件要求密封的投标文件和由于包装不妥而失散或严重破损的投标文件；</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7.3</w:t>
      </w:r>
      <w:r>
        <w:rPr>
          <w:rFonts w:ascii="仿宋" w:hAnsi="仿宋" w:eastAsia="仿宋" w:cs="仿宋"/>
          <w:color w:val="000000"/>
          <w:kern w:val="0"/>
          <w:sz w:val="28"/>
          <w:szCs w:val="28"/>
        </w:rPr>
        <w:t>未按招标文件要求编制或字迹模糊、辨认不清的</w:t>
      </w:r>
      <w:r>
        <w:rPr>
          <w:rFonts w:hint="eastAsia" w:ascii="仿宋" w:hAnsi="仿宋" w:eastAsia="仿宋" w:cs="仿宋"/>
          <w:color w:val="000000"/>
          <w:kern w:val="0"/>
          <w:sz w:val="28"/>
          <w:szCs w:val="28"/>
        </w:rPr>
        <w:t>；</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7.4与招标文件有重大偏离的投标文件；</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7.5未按投标文件规定提供投标保证金的投标文件；</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7.6关键文件没有投标方授权代表签字和加盖公章的投标文件；</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7.7</w:t>
      </w:r>
      <w:r>
        <w:rPr>
          <w:rFonts w:ascii="仿宋" w:hAnsi="仿宋" w:eastAsia="仿宋" w:cs="仿宋"/>
          <w:color w:val="000000"/>
          <w:kern w:val="0"/>
          <w:sz w:val="28"/>
          <w:szCs w:val="28"/>
        </w:rPr>
        <w:t>投标人递交两份或两份以上内容不同的投标书</w:t>
      </w:r>
      <w:r>
        <w:rPr>
          <w:rFonts w:hint="eastAsia" w:ascii="仿宋" w:hAnsi="仿宋" w:eastAsia="仿宋" w:cs="仿宋"/>
          <w:color w:val="000000"/>
          <w:kern w:val="0"/>
          <w:sz w:val="28"/>
          <w:szCs w:val="28"/>
        </w:rPr>
        <w:t>。</w:t>
      </w:r>
    </w:p>
    <w:p>
      <w:pPr>
        <w:ind w:firstLine="560" w:firstLineChars="200"/>
        <w:outlineLvl w:val="2"/>
        <w:rPr>
          <w:rFonts w:hint="eastAsia" w:ascii="仿宋" w:hAnsi="仿宋" w:eastAsia="仿宋" w:cs="仿宋"/>
          <w:color w:val="000000"/>
          <w:kern w:val="0"/>
          <w:sz w:val="28"/>
          <w:szCs w:val="28"/>
        </w:rPr>
      </w:pPr>
      <w:bookmarkStart w:id="5" w:name="_Toc26613963"/>
      <w:r>
        <w:rPr>
          <w:rFonts w:hint="eastAsia" w:ascii="仿宋" w:hAnsi="仿宋" w:eastAsia="仿宋" w:cs="仿宋"/>
          <w:color w:val="000000"/>
          <w:kern w:val="0"/>
          <w:sz w:val="28"/>
          <w:szCs w:val="28"/>
        </w:rPr>
        <w:t>（八）其他要求</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8.1投标方须以邮寄或当面提交的方式，在投标截止时间前将投标文件送达邀标方，否则投标视为废标。</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8.2投标人不得以他人名义投标或以其他方式弄虚作假，骗取中标。</w:t>
      </w:r>
    </w:p>
    <w:p>
      <w:pPr>
        <w:pStyle w:val="2"/>
        <w:jc w:val="left"/>
        <w:rPr>
          <w:rFonts w:hint="eastAsia" w:ascii="Times New Roman" w:hAnsi="Times New Roman" w:cs="Times New Roman"/>
          <w:b/>
          <w:bCs/>
        </w:rPr>
      </w:pPr>
      <w:bookmarkStart w:id="6" w:name="_Toc8399"/>
      <w:r>
        <w:rPr>
          <w:rFonts w:hint="eastAsia" w:ascii="Times New Roman" w:hAnsi="Times New Roman" w:cs="Times New Roman"/>
          <w:b/>
          <w:bCs/>
        </w:rPr>
        <w:t>第三部分 开标及评标</w:t>
      </w:r>
      <w:bookmarkEnd w:id="5"/>
      <w:bookmarkEnd w:id="6"/>
    </w:p>
    <w:p>
      <w:pPr>
        <w:pStyle w:val="3"/>
        <w:ind w:left="420"/>
        <w:jc w:val="left"/>
      </w:pPr>
      <w:r>
        <w:rPr>
          <w:rFonts w:hint="eastAsia"/>
        </w:rPr>
        <w:t>（一）开标</w:t>
      </w:r>
    </w:p>
    <w:p>
      <w:pPr>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邀标方将自行组建评标小组在投标截止期后的某一时间对所有投标文件统一拆封开标</w:t>
      </w:r>
      <w:r>
        <w:rPr>
          <w:rFonts w:hint="eastAsia" w:ascii="仿宋" w:hAnsi="仿宋" w:eastAsia="仿宋" w:cs="仿宋"/>
          <w:color w:val="000000"/>
          <w:kern w:val="0"/>
          <w:sz w:val="28"/>
          <w:szCs w:val="28"/>
        </w:rPr>
        <w:t>。</w:t>
      </w:r>
      <w:bookmarkStart w:id="7" w:name="_Toc409105641"/>
    </w:p>
    <w:p>
      <w:pPr>
        <w:pStyle w:val="3"/>
        <w:ind w:left="420"/>
        <w:jc w:val="left"/>
        <w:rPr>
          <w:rFonts w:hint="eastAsia" w:ascii="Arial" w:hAnsi="Arial" w:cs="Times New Roman"/>
        </w:rPr>
      </w:pPr>
      <w:r>
        <w:rPr>
          <w:rFonts w:hint="eastAsia" w:ascii="Arial" w:hAnsi="Arial" w:cs="Times New Roman"/>
        </w:rPr>
        <w:t>（二）投标文件初审</w:t>
      </w:r>
      <w:bookmarkEnd w:id="7"/>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开标后，按规定组建的评标委员会对投标文件进行初审，初审内容为：</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2.1投标文件是否符合招标文件的要求，内容是否完整，文件签署是否齐全；</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2.2价格构成有无计算错误；</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2.3验证投标保证金;</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2.4初审时发现价格计算有误，将按下述原则修正：单价之和与总价不符，或以文字表示的数据与数字表示的有差别，将以较低价为准修正价格；</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2.5初审时如发现投标产品与招标产品在规格型号、技术参数、性能、质量、交货期有重大偏离，其投标文件将被拒绝。但允许投标产品在满足招标技术规格书的前提下出现的合理偏差（仅限于优化招标文件要求）;</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2.6邀标方对投标文件的判定，只依据投标内容本身，不依靠开标后的任何外来证明。</w:t>
      </w:r>
      <w:bookmarkStart w:id="8" w:name="_Toc409105642"/>
    </w:p>
    <w:p>
      <w:pPr>
        <w:pStyle w:val="3"/>
        <w:ind w:left="420"/>
        <w:jc w:val="left"/>
        <w:rPr>
          <w:rFonts w:hint="eastAsia" w:ascii="Arial" w:hAnsi="Arial" w:cs="Times New Roman"/>
        </w:rPr>
      </w:pPr>
      <w:r>
        <w:rPr>
          <w:rFonts w:hint="eastAsia" w:ascii="Arial" w:hAnsi="Arial" w:cs="Times New Roman"/>
        </w:rPr>
        <w:t>（三）询标</w:t>
      </w:r>
      <w:bookmarkEnd w:id="8"/>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3.1为有利于对投标文件的比较和评议，邀标方可要求投标方对投标文件进行澄清，必要时邀标方可要求投标方对澄清的问题作出书面答复。书面答复须有投标全权代表签字并作为投标内容的一部分。</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3.2投标方对投标文件的澄清不得改变投标价格及实质性内容。</w:t>
      </w:r>
      <w:bookmarkStart w:id="9" w:name="_Toc409105643"/>
    </w:p>
    <w:p>
      <w:pPr>
        <w:pStyle w:val="3"/>
        <w:ind w:left="420"/>
        <w:jc w:val="left"/>
        <w:rPr>
          <w:rFonts w:hint="eastAsia" w:ascii="Arial" w:hAnsi="Arial" w:cs="Times New Roman"/>
        </w:rPr>
      </w:pPr>
      <w:r>
        <w:rPr>
          <w:rFonts w:hint="eastAsia" w:ascii="Arial" w:hAnsi="Arial" w:cs="Times New Roman"/>
        </w:rPr>
        <w:t>（四）评标</w:t>
      </w:r>
      <w:bookmarkEnd w:id="9"/>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4.1邀标方将按规定组建评标小组对具备实质性响应的投标文件进行评估和比较。</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4.2评标原则</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评标小组按照招标文件的要求进行评标以商务标为主，技术标为辅，同时考虑以下因素：</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（1）投标价格的竞争性；</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（2）产品性能和标准；</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（3）售后服务；</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（4）交货期；</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（5）结算及付款方式；</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（6）经营信誉；</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（7）企业资质；</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（8）近三年来同类产品的业绩。</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4.3评标工作如需投标方配合，投标方必须接受。</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4.4评标小组经评审认为所有投标均不符合招标文件要求的，可以否决所有投标。</w:t>
      </w:r>
      <w:bookmarkStart w:id="10" w:name="_Toc408327757"/>
      <w:bookmarkStart w:id="11" w:name="_Toc409105644"/>
    </w:p>
    <w:p>
      <w:pPr>
        <w:pStyle w:val="3"/>
        <w:ind w:left="420"/>
        <w:jc w:val="left"/>
        <w:rPr>
          <w:rFonts w:hint="eastAsia" w:ascii="Arial" w:hAnsi="Arial" w:cs="Times New Roman"/>
        </w:rPr>
      </w:pPr>
      <w:r>
        <w:rPr>
          <w:rFonts w:hint="eastAsia" w:ascii="Arial" w:hAnsi="Arial" w:cs="Times New Roman"/>
        </w:rPr>
        <w:t>（五）废标原则</w:t>
      </w:r>
      <w:bookmarkEnd w:id="10"/>
      <w:bookmarkEnd w:id="11"/>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5.1评标小组经评审认为所有投标均不符合招标文件中“投标文件应按招标文件要求的格式和内容填写”、“投标人单位盖章齐全，符合招标文件规定”等规定的，可以否决所有投标，将作废标处理。</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5.2投标人以他人名义投标、串通投标、以行贿手段谋取中标或者以其它弄虚作假方式投标，将作废标处理。</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5.3若发现存在细微技术偏差，需先澄清技术问题，在技术参数和规范统一后再进行商务澄清，澄清过程应有书面记录。若技术与商务澄清后，投标人仍对招标文件中技术要求、商务条款等不响应，将作废标处理。</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5.4投标人若没有严格按照招标文件的要求编写投标文件或</w:t>
      </w:r>
      <w:r>
        <w:rPr>
          <w:rFonts w:ascii="仿宋" w:hAnsi="仿宋" w:eastAsia="仿宋" w:cs="仿宋"/>
          <w:color w:val="000000"/>
          <w:kern w:val="0"/>
          <w:sz w:val="28"/>
          <w:szCs w:val="28"/>
        </w:rPr>
        <w:t>修改招标文件清单</w:t>
      </w:r>
      <w:r>
        <w:rPr>
          <w:rFonts w:hint="eastAsia" w:ascii="仿宋" w:hAnsi="仿宋" w:eastAsia="仿宋" w:cs="仿宋"/>
          <w:color w:val="000000"/>
          <w:kern w:val="0"/>
          <w:sz w:val="28"/>
          <w:szCs w:val="28"/>
        </w:rPr>
        <w:t>，经评标小组确认，将作废标处理。</w:t>
      </w:r>
      <w:bookmarkStart w:id="12" w:name="_Toc409105645"/>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5.5发现存在其他隐瞒和夸大事实行为的投标，将作废标处理。</w:t>
      </w:r>
    </w:p>
    <w:p>
      <w:pPr>
        <w:pStyle w:val="3"/>
        <w:ind w:left="420"/>
        <w:jc w:val="left"/>
        <w:rPr>
          <w:rFonts w:hint="eastAsia" w:ascii="Arial" w:hAnsi="Arial" w:cs="Times New Roman"/>
        </w:rPr>
      </w:pPr>
      <w:r>
        <w:rPr>
          <w:rFonts w:hint="eastAsia" w:ascii="Arial" w:hAnsi="Arial" w:cs="Times New Roman"/>
        </w:rPr>
        <w:t>（六）中标标准</w:t>
      </w:r>
      <w:bookmarkEnd w:id="12"/>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评标结束后，决标领导小组根据以下中标标准进行审查：</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6.1产品的技术、质量水平；</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6.2投标方履行集中采购协议的能力;</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6.3投标文件符合招标文件要求；</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6.4投标方有很好的执行集中采购协议的能力；</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6.5售价对买方最有利；</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6.6投标方能够提供质量技术、商务经济占综合优势的产品及服务。</w:t>
      </w:r>
    </w:p>
    <w:p>
      <w:pPr>
        <w:ind w:firstLine="560" w:firstLineChars="200"/>
        <w:rPr>
          <w:rFonts w:ascii="仿宋" w:hAnsi="仿宋" w:eastAsia="仿宋" w:cs="仿宋"/>
          <w:color w:val="000000"/>
          <w:kern w:val="0"/>
          <w:sz w:val="28"/>
          <w:szCs w:val="28"/>
        </w:rPr>
      </w:pPr>
      <w:bookmarkStart w:id="13" w:name="_Toc409105646"/>
      <w:r>
        <w:rPr>
          <w:rFonts w:hint="eastAsia" w:ascii="仿宋" w:hAnsi="仿宋" w:eastAsia="仿宋" w:cs="仿宋"/>
          <w:color w:val="000000"/>
          <w:kern w:val="0"/>
          <w:sz w:val="28"/>
          <w:szCs w:val="28"/>
        </w:rPr>
        <w:t>邀标方有权根据综合评标结果有选择地把中标通知书授予每大类材料的最佳投标者，每家投标单位可能中标不同大类或者全部类别的产品。</w:t>
      </w:r>
    </w:p>
    <w:bookmarkEnd w:id="13"/>
    <w:p>
      <w:pPr>
        <w:pStyle w:val="3"/>
        <w:ind w:left="420"/>
        <w:jc w:val="left"/>
        <w:rPr>
          <w:rFonts w:hint="eastAsia" w:ascii="Arial" w:hAnsi="Arial" w:cs="Times New Roman"/>
        </w:rPr>
      </w:pPr>
      <w:r>
        <w:rPr>
          <w:rFonts w:hint="eastAsia" w:ascii="Arial" w:hAnsi="Arial" w:cs="Times New Roman"/>
        </w:rPr>
        <w:t>（七）中标通知</w:t>
      </w:r>
    </w:p>
    <w:p>
      <w:pPr>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7</w:t>
      </w:r>
      <w:r>
        <w:rPr>
          <w:rFonts w:hint="eastAsia" w:ascii="仿宋" w:hAnsi="仿宋" w:eastAsia="仿宋" w:cs="仿宋"/>
          <w:color w:val="000000"/>
          <w:kern w:val="0"/>
          <w:sz w:val="28"/>
          <w:szCs w:val="28"/>
        </w:rPr>
        <w:t>.1在投标有效期内，邀标方将以书面的形式通知中标方；</w:t>
      </w:r>
    </w:p>
    <w:p>
      <w:pPr>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7</w:t>
      </w:r>
      <w:r>
        <w:rPr>
          <w:rFonts w:hint="eastAsia" w:ascii="仿宋" w:hAnsi="仿宋" w:eastAsia="仿宋" w:cs="仿宋"/>
          <w:color w:val="000000"/>
          <w:kern w:val="0"/>
          <w:sz w:val="28"/>
          <w:szCs w:val="28"/>
        </w:rPr>
        <w:t>.2邀标方在向投标方授予中标通知书时，有权变更招标产品的数量和服务内容；</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7.3邀标方有权对未中标的投标方不作任何解释。</w:t>
      </w:r>
    </w:p>
    <w:p>
      <w:pPr>
        <w:pStyle w:val="2"/>
        <w:jc w:val="left"/>
        <w:rPr>
          <w:rFonts w:hint="eastAsia"/>
        </w:rPr>
      </w:pPr>
      <w:bookmarkStart w:id="14" w:name="_Toc137"/>
      <w:bookmarkStart w:id="15" w:name="_Toc26613964"/>
      <w:r>
        <w:rPr>
          <w:rFonts w:hint="eastAsia"/>
        </w:rPr>
        <w:t>第四部分 授予合同</w:t>
      </w:r>
      <w:bookmarkEnd w:id="14"/>
      <w:bookmarkEnd w:id="15"/>
    </w:p>
    <w:p>
      <w:pPr>
        <w:pStyle w:val="3"/>
        <w:ind w:left="420"/>
        <w:jc w:val="left"/>
        <w:rPr>
          <w:rFonts w:hint="eastAsia" w:ascii="Arial" w:hAnsi="Arial" w:cs="Times New Roman"/>
        </w:rPr>
      </w:pPr>
      <w:r>
        <w:rPr>
          <w:rFonts w:hint="eastAsia" w:ascii="Arial" w:hAnsi="Arial" w:cs="Times New Roman"/>
        </w:rPr>
        <w:t>（一）最终审查</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 最终审查对象是招标项目的预中标方。</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1.2 审查的内容是对预中标方的以往价格、售后服务、经营信誉，以及邀标方认为有必要的其它问题作进一步的考查。</w:t>
      </w:r>
    </w:p>
    <w:p>
      <w:pPr>
        <w:pStyle w:val="3"/>
        <w:ind w:left="420"/>
        <w:jc w:val="left"/>
        <w:rPr>
          <w:rFonts w:hint="eastAsia" w:ascii="Arial" w:hAnsi="Arial" w:cs="Times New Roman"/>
        </w:rPr>
      </w:pPr>
      <w:r>
        <w:rPr>
          <w:rFonts w:hint="eastAsia" w:ascii="Arial" w:hAnsi="Arial" w:cs="Times New Roman"/>
        </w:rPr>
        <w:t>（二）发出中标通知</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邀标方将向中标方发出中标通知，并与中标方签订合同或协议。</w:t>
      </w:r>
    </w:p>
    <w:p>
      <w:pPr>
        <w:pStyle w:val="3"/>
        <w:ind w:left="420"/>
        <w:jc w:val="left"/>
        <w:rPr>
          <w:rFonts w:hint="eastAsia" w:ascii="Arial" w:hAnsi="Arial" w:cs="Times New Roman"/>
        </w:rPr>
      </w:pPr>
      <w:r>
        <w:rPr>
          <w:rFonts w:hint="eastAsia" w:ascii="Arial" w:hAnsi="Arial" w:cs="Times New Roman"/>
        </w:rPr>
        <w:t>（三）其他情况</w:t>
      </w:r>
    </w:p>
    <w:p>
      <w:pPr>
        <w:ind w:firstLine="560" w:firstLineChars="200"/>
        <w:rPr>
          <w:rFonts w:hint="eastAsia" w:ascii="仿宋" w:hAnsi="仿宋" w:eastAsia="仿宋" w:cs="仿宋"/>
          <w:b/>
          <w:color w:val="000000"/>
          <w:kern w:val="0"/>
          <w:sz w:val="28"/>
          <w:szCs w:val="28"/>
        </w:rPr>
      </w:pPr>
      <w:r>
        <w:rPr>
          <w:rFonts w:hint="eastAsia" w:ascii="仿宋" w:hAnsi="仿宋" w:eastAsia="仿宋" w:cs="仿宋"/>
          <w:color w:val="000000"/>
          <w:kern w:val="0"/>
          <w:sz w:val="28"/>
          <w:szCs w:val="28"/>
        </w:rPr>
        <w:t>中标方如若有需要将部分产品外包的，必须向邀标方提前说明，提供外包方的产品生产资质，并接收邀标方的资质审查。</w:t>
      </w:r>
    </w:p>
    <w:p>
      <w:pPr>
        <w:rPr>
          <w:rFonts w:hint="eastAsia" w:ascii="仿宋" w:hAnsi="仿宋" w:eastAsia="仿宋" w:cs="仿宋"/>
          <w:b/>
          <w:color w:val="000000"/>
          <w:kern w:val="0"/>
          <w:sz w:val="28"/>
          <w:szCs w:val="28"/>
        </w:rPr>
      </w:pPr>
    </w:p>
    <w:p>
      <w:pPr>
        <w:rPr>
          <w:rFonts w:hint="eastAsia" w:ascii="仿宋" w:hAnsi="仿宋" w:eastAsia="仿宋" w:cs="仿宋"/>
          <w:b/>
          <w:color w:val="000000"/>
          <w:kern w:val="0"/>
          <w:sz w:val="28"/>
          <w:szCs w:val="28"/>
        </w:rPr>
      </w:pPr>
    </w:p>
    <w:p>
      <w:pPr>
        <w:rPr>
          <w:rFonts w:hint="eastAsia" w:ascii="仿宋" w:hAnsi="仿宋" w:eastAsia="仿宋" w:cs="仿宋"/>
          <w:b/>
          <w:color w:val="000000"/>
          <w:kern w:val="0"/>
          <w:sz w:val="28"/>
          <w:szCs w:val="28"/>
        </w:rPr>
      </w:pPr>
    </w:p>
    <w:p>
      <w:pPr>
        <w:snapToGrid w:val="0"/>
        <w:spacing w:line="436" w:lineRule="atLeast"/>
        <w:jc w:val="left"/>
        <w:outlineLvl w:val="0"/>
        <w:rPr>
          <w:rFonts w:hint="eastAsia" w:ascii="仿宋" w:hAnsi="仿宋" w:eastAsia="仿宋" w:cs="仿宋"/>
          <w:b/>
          <w:bCs/>
          <w:sz w:val="30"/>
          <w:szCs w:val="30"/>
        </w:rPr>
      </w:pPr>
      <w:r>
        <w:rPr>
          <w:rFonts w:hint="eastAsia" w:ascii="仿宋" w:hAnsi="仿宋" w:eastAsia="仿宋" w:cs="仿宋"/>
          <w:b/>
          <w:color w:val="000000"/>
          <w:kern w:val="0"/>
          <w:sz w:val="28"/>
          <w:szCs w:val="28"/>
        </w:rPr>
        <w:br w:type="page"/>
      </w:r>
      <w:bookmarkStart w:id="16" w:name="_Toc27503"/>
      <w:bookmarkStart w:id="17" w:name="_Toc26613965"/>
      <w:r>
        <w:rPr>
          <w:rFonts w:hint="eastAsia"/>
          <w:b/>
          <w:color w:val="000000"/>
          <w:sz w:val="28"/>
          <w:szCs w:val="28"/>
        </w:rPr>
        <w:t>附件一</w:t>
      </w:r>
      <w:bookmarkEnd w:id="16"/>
    </w:p>
    <w:p>
      <w:pPr>
        <w:spacing w:line="520" w:lineRule="exact"/>
        <w:jc w:val="center"/>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rPr>
        <w:t>南南铝业股份有限公司</w:t>
      </w:r>
      <w:r>
        <w:rPr>
          <w:rFonts w:hint="eastAsia" w:ascii="仿宋" w:hAnsi="仿宋" w:eastAsia="仿宋" w:cs="仿宋"/>
          <w:b/>
          <w:color w:val="000000"/>
          <w:sz w:val="28"/>
          <w:szCs w:val="28"/>
          <w:lang w:eastAsia="zh-CN"/>
        </w:rPr>
        <w:t>数据中心存储服务器采购项目</w:t>
      </w:r>
    </w:p>
    <w:p>
      <w:pPr>
        <w:spacing w:line="520" w:lineRule="exact"/>
        <w:jc w:val="center"/>
        <w:rPr>
          <w:rFonts w:hint="eastAsia" w:ascii="仿宋" w:hAnsi="仿宋" w:eastAsia="仿宋" w:cs="仿宋"/>
          <w:b/>
          <w:bCs/>
          <w:color w:val="000000"/>
          <w:kern w:val="0"/>
          <w:sz w:val="28"/>
          <w:szCs w:val="28"/>
          <w:lang w:eastAsia="zh-CN"/>
        </w:rPr>
      </w:pPr>
      <w:r>
        <w:rPr>
          <w:rFonts w:hint="eastAsia" w:ascii="仿宋" w:hAnsi="仿宋" w:eastAsia="仿宋" w:cs="仿宋"/>
          <w:b/>
          <w:color w:val="000000"/>
          <w:sz w:val="28"/>
          <w:szCs w:val="28"/>
        </w:rPr>
        <w:t>需求</w:t>
      </w:r>
      <w:r>
        <w:rPr>
          <w:rFonts w:hint="eastAsia" w:ascii="仿宋" w:hAnsi="仿宋" w:eastAsia="仿宋" w:cs="仿宋"/>
          <w:b/>
          <w:color w:val="000000"/>
          <w:sz w:val="28"/>
          <w:szCs w:val="28"/>
          <w:lang w:val="en-US" w:eastAsia="zh-CN"/>
        </w:rPr>
        <w:t>清单</w:t>
      </w:r>
    </w:p>
    <w:tbl>
      <w:tblPr>
        <w:tblStyle w:val="15"/>
        <w:tblW w:w="4998" w:type="pct"/>
        <w:tblInd w:w="0" w:type="dxa"/>
        <w:tblLayout w:type="autofit"/>
        <w:tblCellMar>
          <w:top w:w="0" w:type="dxa"/>
          <w:left w:w="108" w:type="dxa"/>
          <w:bottom w:w="0" w:type="dxa"/>
          <w:right w:w="108" w:type="dxa"/>
        </w:tblCellMar>
      </w:tblPr>
      <w:tblGrid>
        <w:gridCol w:w="807"/>
        <w:gridCol w:w="1356"/>
        <w:gridCol w:w="5486"/>
        <w:gridCol w:w="869"/>
        <w:gridCol w:w="760"/>
        <w:gridCol w:w="4"/>
      </w:tblGrid>
      <w:tr>
        <w:tblPrEx>
          <w:tblCellMar>
            <w:top w:w="0" w:type="dxa"/>
            <w:left w:w="108" w:type="dxa"/>
            <w:bottom w:w="0" w:type="dxa"/>
            <w:right w:w="108" w:type="dxa"/>
          </w:tblCellMar>
        </w:tblPrEx>
        <w:trPr>
          <w:trHeight w:val="450" w:hRule="atLeast"/>
        </w:trPr>
        <w:tc>
          <w:tcPr>
            <w:tcW w:w="43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序号</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名称</w:t>
            </w:r>
          </w:p>
        </w:tc>
        <w:tc>
          <w:tcPr>
            <w:tcW w:w="29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技术参数</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数量</w:t>
            </w:r>
          </w:p>
        </w:tc>
        <w:tc>
          <w:tcPr>
            <w:tcW w:w="41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单位</w:t>
            </w:r>
          </w:p>
        </w:tc>
      </w:tr>
      <w:tr>
        <w:tblPrEx>
          <w:tblCellMar>
            <w:top w:w="0" w:type="dxa"/>
            <w:left w:w="108" w:type="dxa"/>
            <w:bottom w:w="0" w:type="dxa"/>
            <w:right w:w="108" w:type="dxa"/>
          </w:tblCellMar>
        </w:tblPrEx>
        <w:trPr>
          <w:trHeight w:val="620" w:hRule="atLeast"/>
        </w:trPr>
        <w:tc>
          <w:tcPr>
            <w:tcW w:w="43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 w:val="18"/>
                <w:szCs w:val="18"/>
              </w:rPr>
            </w:pPr>
            <w:r>
              <w:rPr>
                <w:rFonts w:hint="eastAsia" w:ascii="宋体" w:hAnsi="宋体" w:eastAsia="宋体" w:cs="宋体"/>
                <w:sz w:val="21"/>
                <w:szCs w:val="21"/>
                <w:vertAlign w:val="baseline"/>
                <w:lang w:val="en-US" w:eastAsia="zh-CN"/>
              </w:rPr>
              <w:t>存储服务器</w:t>
            </w:r>
          </w:p>
        </w:tc>
        <w:tc>
          <w:tcPr>
            <w:tcW w:w="2954" w:type="pct"/>
            <w:tcBorders>
              <w:top w:val="single" w:color="000000" w:sz="4" w:space="0"/>
              <w:left w:val="single" w:color="000000" w:sz="4" w:space="0"/>
              <w:bottom w:val="single" w:color="000000" w:sz="4" w:space="0"/>
              <w:right w:val="single" w:color="000000" w:sz="4" w:space="0"/>
            </w:tcBorders>
            <w:noWrap w:val="0"/>
            <w:vAlign w:val="top"/>
          </w:tcPr>
          <w:p>
            <w:pPr>
              <w:numPr>
                <w:ilvl w:val="0"/>
                <w:numId w:val="4"/>
              </w:numPr>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CPU</w:t>
            </w:r>
            <w:r>
              <w:rPr>
                <w:rFonts w:hint="eastAsia" w:ascii="宋体" w:hAnsi="宋体" w:eastAsia="宋体" w:cs="宋体"/>
                <w:color w:val="000000"/>
                <w:kern w:val="0"/>
                <w:sz w:val="21"/>
                <w:szCs w:val="21"/>
                <w:lang w:eastAsia="zh-CN"/>
              </w:rPr>
              <w:t>：处理器 Intel Xeon D-1541 处理器八核心2.1 (基本频率)/2.7 (睿频频率) GHz</w:t>
            </w:r>
          </w:p>
          <w:p>
            <w:pPr>
              <w:numPr>
                <w:ilvl w:val="0"/>
                <w:numId w:val="4"/>
              </w:numPr>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内存配置 16GB DDR4ECC 内存，可扩充至 128GB</w:t>
            </w:r>
          </w:p>
          <w:p>
            <w:pPr>
              <w:numPr>
                <w:ilvl w:val="0"/>
                <w:numId w:val="4"/>
              </w:numPr>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兼容硬盘类型：</w:t>
            </w:r>
            <w:r>
              <w:rPr>
                <w:rFonts w:hint="eastAsia" w:ascii="宋体" w:hAnsi="宋体" w:eastAsia="宋体" w:cs="宋体"/>
                <w:color w:val="000000"/>
                <w:kern w:val="0"/>
                <w:sz w:val="21"/>
                <w:szCs w:val="21"/>
              </w:rPr>
              <w:t>硬盘支持：3.5" or 2.5" SATA(III) / SATA(II) HDD 及 2.5" SATA(III) / SATA(II) SSD</w:t>
            </w:r>
          </w:p>
          <w:p>
            <w:pPr>
              <w:numPr>
                <w:ilvl w:val="0"/>
                <w:numId w:val="4"/>
              </w:numPr>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局域网端口： 1 x 1GbE RJ-45 (带外管理和数据传输)4 x 1GbE RJ-45 (数据传输)2 x 10GbE RJ-45</w:t>
            </w:r>
          </w:p>
          <w:p>
            <w:pPr>
              <w:numPr>
                <w:ilvl w:val="0"/>
                <w:numId w:val="4"/>
              </w:numPr>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提供 Web 化多任务网页管理界面，系统语言默认中文，同时支持 20 多种语言</w:t>
            </w:r>
          </w:p>
          <w:p>
            <w:pPr>
              <w:numPr>
                <w:ilvl w:val="0"/>
                <w:numId w:val="4"/>
              </w:numPr>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支持 SNMP 管理协议</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提供共享文件夹和 LUN 快照功能，可手动或定时执行文件夹快照，以保障文件误删时，可快速恢复文件。</w:t>
            </w:r>
          </w:p>
          <w:p>
            <w:pPr>
              <w:numPr>
                <w:ilvl w:val="0"/>
                <w:numId w:val="4"/>
              </w:numPr>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提供磁盘空间配额管理 (Quota Management) 功能，限制在共享文件夹用户的磁盘空间使用量，以避免少数用户大量占用共享磁盘空间，妥善分配磁盘资源</w:t>
            </w:r>
            <w:r>
              <w:rPr>
                <w:rFonts w:hint="eastAsia" w:ascii="宋体" w:hAnsi="宋体" w:eastAsia="宋体" w:cs="宋体"/>
                <w:color w:val="000000"/>
                <w:kern w:val="0"/>
                <w:sz w:val="21"/>
                <w:szCs w:val="21"/>
                <w:lang w:eastAsia="zh-CN"/>
              </w:rPr>
              <w:t>。</w:t>
            </w:r>
          </w:p>
          <w:p>
            <w:pPr>
              <w:numPr>
                <w:ilvl w:val="0"/>
                <w:numId w:val="4"/>
              </w:numPr>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系统记录详细日志，能按日期、事件层级等条件进行搜索。还支持发送系统日志至 syslog 服务器，或作为 syslog 服务器，通过网络接收来自其他客户端设备的日志。</w:t>
            </w:r>
          </w:p>
          <w:p>
            <w:pPr>
              <w:numPr>
                <w:ilvl w:val="0"/>
                <w:numId w:val="4"/>
              </w:numPr>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★提供高可用 (High-Availability) 配置，支持双机热备，可使用两台主机通过网线连接，组成高可用性集群，分别为主、备用服务器。当主服务器发生错误时，可将服务自动转移至备用服务器。</w:t>
            </w:r>
          </w:p>
          <w:p>
            <w:pPr>
              <w:numPr>
                <w:ilvl w:val="0"/>
                <w:numId w:val="4"/>
              </w:numPr>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★支持 Windows ACL 13 种权限设定，并可同时通过 Windows 窗口及网页管理接口直接设置 ACL 权限。迁移 Windows 文件时，支持 AD 权限同步迁入。</w:t>
            </w:r>
          </w:p>
          <w:p>
            <w:pPr>
              <w:numPr>
                <w:ilvl w:val="0"/>
                <w:numId w:val="4"/>
              </w:numPr>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支持加入已有的 Windows ADS (Active Directory Services) 或 LDAP 目录，可无缝集成到现有的目录服务。支持将部分管理权限委派给 ADS 和 LDAP 目录中的帐户。</w:t>
            </w:r>
          </w:p>
          <w:p>
            <w:pPr>
              <w:numPr>
                <w:ilvl w:val="0"/>
                <w:numId w:val="4"/>
              </w:numPr>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支持多台同品牌服务器远程双向自动同步文件，且可提供权限控制。为保护重要数据在受到无预警的灾难损害（如火灾等），可将文件和设置（如用户帐户、共享文件夹、文件共享或其他设置等）轻松备份至不同地点同品牌的服务器中。初次设置之后，无论增加、删除或编辑了共享文件夹的内容，所做的修改都会自动被同步。</w:t>
            </w:r>
          </w:p>
          <w:p>
            <w:pPr>
              <w:numPr>
                <w:ilvl w:val="0"/>
                <w:numId w:val="4"/>
              </w:numPr>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当使用大小不同的硬盘时，可充分利用硬盘资源，大幅提升可用存储空间，避免插入不同容量的硬盘造成存储空间损失。</w:t>
            </w:r>
          </w:p>
          <w:p>
            <w:pPr>
              <w:numPr>
                <w:ilvl w:val="0"/>
                <w:numId w:val="4"/>
              </w:numPr>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★支持手动和计划性备份，能在单一入口，安全备份单位电脑、Windows 和 Linux 物理服务器、SMB 和 rsync 文件服务器、VMware vSphere 和 Hyper-V 等虚拟机，配合相关软件可做容灾使用。备份软件无需额外费用，不设终端数量限制，备份容量不受授权限制；</w:t>
            </w:r>
          </w:p>
          <w:p>
            <w:pPr>
              <w:numPr>
                <w:ilvl w:val="0"/>
                <w:numId w:val="4"/>
              </w:numPr>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★支持将数据和程序、系统设置备份至另一台服务器、外接设备，或京东云等公有云，实现异地灾备。并且支持重复数据删除、数据加密与压缩功能等。</w:t>
            </w:r>
          </w:p>
          <w:p>
            <w:pPr>
              <w:numPr>
                <w:ilvl w:val="0"/>
                <w:numId w:val="4"/>
              </w:numPr>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★支持虚拟化技术，支持 iSCSI LUN 克隆/快照，支持多种操作系统、快速建立虚拟机、虚拟机汇入导出、系统快照等功能。通过网页的集中化管控平台，可直接为虚拟化系统添加备份保护任务，直接将备份的虚拟机通过挂载的方式即时可用，并支持设置虚拟机挂载后是否自动开机和联网；支持多种虚拟化部署，包括 VMware vSphere® 、Windows Hyper-V® 、Citrix XenServer® 和 OpenStack Cinder®等；</w:t>
            </w:r>
          </w:p>
          <w:p>
            <w:pPr>
              <w:numPr>
                <w:ilvl w:val="0"/>
                <w:numId w:val="4"/>
              </w:numPr>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可在 VMware 或 Windows 上管理和监控多台存储节点；</w:t>
            </w:r>
          </w:p>
          <w:p>
            <w:pPr>
              <w:numPr>
                <w:ilvl w:val="0"/>
                <w:numId w:val="4"/>
              </w:numPr>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可直接通过 VMware vCenter Server 启用 Disaster Recovery，简化设置并优化流程；</w:t>
            </w:r>
          </w:p>
          <w:p>
            <w:pPr>
              <w:numPr>
                <w:ilvl w:val="0"/>
                <w:numId w:val="4"/>
              </w:numPr>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★支持生成 https 协议的文件共享链接，用户能访问和下载文件。</w:t>
            </w:r>
          </w:p>
          <w:p>
            <w:pPr>
              <w:numPr>
                <w:ilvl w:val="0"/>
                <w:numId w:val="4"/>
              </w:numPr>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★支持共享文件夹和 LUN 快照，并提供故障转移功能，能根据设置自动轮换历史版本，并支持 GFS 保留策略。共享文件夹和 LUN 快照支持本地和远程复制功能。</w:t>
            </w:r>
          </w:p>
          <w:p>
            <w:pPr>
              <w:numPr>
                <w:ilvl w:val="0"/>
                <w:numId w:val="4"/>
              </w:numPr>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★提供 CMS 集中化管理系统功能，能统一监控和管理多台服务器。能在单一操作界面中，统一监控和管理多台服务器的系统状态、硬盘存储空间用量、日志、实时资源消耗，以及硬盘健康状况。能同时为不同服务器群组定义精细规则，例如，当一台新的服务器加入群组时，能套用预设的设置，无需逐一手动调整。支持管理员从统一界面中进入每台服务器，进行设置。</w:t>
            </w:r>
          </w:p>
          <w:p>
            <w:pPr>
              <w:numPr>
                <w:ilvl w:val="0"/>
                <w:numId w:val="4"/>
              </w:numPr>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质保：5年</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 w:val="18"/>
                <w:szCs w:val="18"/>
              </w:rPr>
            </w:pPr>
            <w:r>
              <w:rPr>
                <w:rFonts w:hint="eastAsia" w:ascii="宋体" w:hAnsi="宋体" w:eastAsia="宋体" w:cs="宋体"/>
                <w:sz w:val="21"/>
                <w:szCs w:val="21"/>
                <w:vertAlign w:val="baseline"/>
                <w:lang w:val="en-US" w:eastAsia="zh-CN"/>
              </w:rPr>
              <w:t>1</w:t>
            </w:r>
          </w:p>
        </w:tc>
        <w:tc>
          <w:tcPr>
            <w:tcW w:w="411"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r>
      <w:tr>
        <w:tblPrEx>
          <w:tblCellMar>
            <w:top w:w="0" w:type="dxa"/>
            <w:left w:w="108" w:type="dxa"/>
            <w:bottom w:w="0" w:type="dxa"/>
            <w:right w:w="108" w:type="dxa"/>
          </w:tblCellMar>
        </w:tblPrEx>
        <w:trPr>
          <w:trHeight w:val="400" w:hRule="atLeast"/>
        </w:trPr>
        <w:tc>
          <w:tcPr>
            <w:tcW w:w="43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 w:val="18"/>
                <w:szCs w:val="18"/>
              </w:rPr>
            </w:pPr>
            <w:r>
              <w:rPr>
                <w:rFonts w:hint="eastAsia" w:ascii="宋体" w:hAnsi="宋体" w:eastAsia="宋体" w:cs="宋体"/>
                <w:sz w:val="21"/>
                <w:szCs w:val="21"/>
                <w:vertAlign w:val="baseline"/>
              </w:rPr>
              <w:t>内存</w:t>
            </w:r>
          </w:p>
        </w:tc>
        <w:tc>
          <w:tcPr>
            <w:tcW w:w="2954"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D4ER01-16G DDR4 ECC</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 w:val="18"/>
                <w:szCs w:val="18"/>
              </w:rPr>
            </w:pPr>
            <w:r>
              <w:rPr>
                <w:rFonts w:hint="eastAsia" w:ascii="宋体" w:hAnsi="宋体" w:eastAsia="宋体" w:cs="宋体"/>
                <w:sz w:val="21"/>
                <w:szCs w:val="21"/>
                <w:vertAlign w:val="baseline"/>
                <w:lang w:val="en-US" w:eastAsia="zh-CN"/>
              </w:rPr>
              <w:t>3</w:t>
            </w:r>
          </w:p>
        </w:tc>
        <w:tc>
          <w:tcPr>
            <w:tcW w:w="411"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个</w:t>
            </w:r>
          </w:p>
        </w:tc>
      </w:tr>
      <w:tr>
        <w:tblPrEx>
          <w:tblCellMar>
            <w:top w:w="0" w:type="dxa"/>
            <w:left w:w="108" w:type="dxa"/>
            <w:bottom w:w="0" w:type="dxa"/>
            <w:right w:w="108" w:type="dxa"/>
          </w:tblCellMar>
        </w:tblPrEx>
        <w:trPr>
          <w:trHeight w:val="400" w:hRule="atLeast"/>
        </w:trPr>
        <w:tc>
          <w:tcPr>
            <w:tcW w:w="43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 w:val="18"/>
                <w:szCs w:val="18"/>
              </w:rPr>
            </w:pPr>
            <w:r>
              <w:rPr>
                <w:rFonts w:hint="eastAsia" w:ascii="宋体" w:hAnsi="宋体" w:eastAsia="宋体" w:cs="宋体"/>
                <w:sz w:val="21"/>
                <w:szCs w:val="21"/>
                <w:vertAlign w:val="baseline"/>
              </w:rPr>
              <w:t>万兆光卡（双口）</w:t>
            </w:r>
          </w:p>
        </w:tc>
        <w:tc>
          <w:tcPr>
            <w:tcW w:w="2954"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5"/>
              </w:num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主机总线接口：PCIe 3.0 x8</w:t>
            </w:r>
          </w:p>
          <w:p>
            <w:pPr>
              <w:numPr>
                <w:ilvl w:val="0"/>
                <w:numId w:val="5"/>
              </w:num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工作温度：0°C 至 40°C (32°F 至 104°F)</w:t>
            </w:r>
          </w:p>
          <w:p>
            <w:pPr>
              <w:numPr>
                <w:ilvl w:val="0"/>
                <w:numId w:val="5"/>
              </w:numPr>
              <w:jc w:val="left"/>
              <w:rPr>
                <w:rFonts w:hint="eastAsia" w:ascii="宋体" w:hAnsi="宋体" w:eastAsia="宋体" w:cs="宋体"/>
                <w:i w:val="0"/>
                <w:iCs w:val="0"/>
                <w:caps w:val="0"/>
                <w:color w:val="2E3742"/>
                <w:spacing w:val="0"/>
                <w:kern w:val="2"/>
                <w:sz w:val="21"/>
                <w:szCs w:val="21"/>
                <w:shd w:val="clear" w:color="auto" w:fill="FFFFFF"/>
                <w:lang w:val="en-US" w:eastAsia="zh-CN" w:bidi="ar-SA"/>
              </w:rPr>
            </w:pPr>
            <w:r>
              <w:rPr>
                <w:rFonts w:hint="eastAsia" w:ascii="宋体" w:hAnsi="宋体" w:eastAsia="宋体" w:cs="宋体"/>
                <w:sz w:val="21"/>
                <w:szCs w:val="21"/>
                <w:vertAlign w:val="baseline"/>
                <w:lang w:val="en-US" w:eastAsia="zh-CN"/>
              </w:rPr>
              <w:t>存储温度:-20°C 至 60°C (-5°F 至 140°F)</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 w:val="18"/>
                <w:szCs w:val="18"/>
              </w:rPr>
            </w:pPr>
            <w:r>
              <w:rPr>
                <w:rFonts w:hint="eastAsia" w:ascii="宋体" w:hAnsi="宋体" w:eastAsia="宋体" w:cs="宋体"/>
                <w:sz w:val="21"/>
                <w:szCs w:val="21"/>
                <w:vertAlign w:val="baseline"/>
                <w:lang w:val="en-US" w:eastAsia="zh-CN"/>
              </w:rPr>
              <w:t>1</w:t>
            </w:r>
          </w:p>
        </w:tc>
        <w:tc>
          <w:tcPr>
            <w:tcW w:w="41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val="en-US" w:eastAsia="zh-CN" w:bidi="ar"/>
              </w:rPr>
              <w:t>个</w:t>
            </w:r>
          </w:p>
        </w:tc>
      </w:tr>
      <w:tr>
        <w:tblPrEx>
          <w:tblCellMar>
            <w:top w:w="0" w:type="dxa"/>
            <w:left w:w="108" w:type="dxa"/>
            <w:bottom w:w="0" w:type="dxa"/>
            <w:right w:w="108" w:type="dxa"/>
          </w:tblCellMar>
        </w:tblPrEx>
        <w:trPr>
          <w:trHeight w:val="400" w:hRule="atLeast"/>
        </w:trPr>
        <w:tc>
          <w:tcPr>
            <w:tcW w:w="43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 w:val="18"/>
                <w:szCs w:val="18"/>
              </w:rPr>
            </w:pPr>
            <w:r>
              <w:rPr>
                <w:rFonts w:hint="eastAsia" w:ascii="宋体" w:hAnsi="宋体" w:eastAsia="宋体" w:cs="宋体"/>
                <w:sz w:val="21"/>
                <w:szCs w:val="21"/>
                <w:vertAlign w:val="baseline"/>
              </w:rPr>
              <w:t>16T硬盘（SAS盘）</w:t>
            </w:r>
          </w:p>
        </w:tc>
        <w:tc>
          <w:tcPr>
            <w:tcW w:w="2954"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6"/>
              </w:num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容量：16TB</w:t>
            </w:r>
          </w:p>
          <w:p>
            <w:pPr>
              <w:numPr>
                <w:ilvl w:val="0"/>
                <w:numId w:val="6"/>
              </w:numPr>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尺寸规格：3.5”</w:t>
            </w:r>
          </w:p>
          <w:p>
            <w:pPr>
              <w:numPr>
                <w:ilvl w:val="0"/>
                <w:numId w:val="6"/>
              </w:numPr>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转速：7200RPM</w:t>
            </w:r>
          </w:p>
          <w:p>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4、质保：5年</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 w:val="18"/>
                <w:szCs w:val="18"/>
              </w:rPr>
            </w:pPr>
            <w:r>
              <w:rPr>
                <w:rFonts w:hint="eastAsia" w:ascii="宋体" w:hAnsi="宋体" w:eastAsia="宋体" w:cs="宋体"/>
                <w:sz w:val="21"/>
                <w:szCs w:val="21"/>
                <w:vertAlign w:val="baseline"/>
                <w:lang w:val="en-US" w:eastAsia="zh-CN"/>
              </w:rPr>
              <w:t>9</w:t>
            </w:r>
          </w:p>
        </w:tc>
        <w:tc>
          <w:tcPr>
            <w:tcW w:w="41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val="en-US" w:eastAsia="zh-CN" w:bidi="ar"/>
              </w:rPr>
              <w:t>块</w:t>
            </w:r>
          </w:p>
        </w:tc>
      </w:tr>
      <w:tr>
        <w:tblPrEx>
          <w:tblCellMar>
            <w:top w:w="0" w:type="dxa"/>
            <w:left w:w="108" w:type="dxa"/>
            <w:bottom w:w="0" w:type="dxa"/>
            <w:right w:w="108" w:type="dxa"/>
          </w:tblCellMar>
        </w:tblPrEx>
        <w:trPr>
          <w:trHeight w:val="400" w:hRule="atLeast"/>
        </w:trPr>
        <w:tc>
          <w:tcPr>
            <w:tcW w:w="43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 w:val="18"/>
                <w:szCs w:val="18"/>
              </w:rPr>
            </w:pPr>
            <w:r>
              <w:rPr>
                <w:rFonts w:hint="eastAsia" w:ascii="宋体" w:hAnsi="宋体" w:eastAsia="宋体" w:cs="宋体"/>
                <w:sz w:val="21"/>
                <w:szCs w:val="21"/>
                <w:vertAlign w:val="baseline"/>
              </w:rPr>
              <w:t>固态硬盘</w:t>
            </w:r>
          </w:p>
        </w:tc>
        <w:tc>
          <w:tcPr>
            <w:tcW w:w="2954"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7"/>
              </w:num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容量：</w:t>
            </w:r>
            <w:r>
              <w:rPr>
                <w:rFonts w:hint="eastAsia" w:ascii="宋体" w:hAnsi="宋体" w:eastAsia="宋体" w:cs="宋体"/>
                <w:sz w:val="21"/>
                <w:szCs w:val="21"/>
                <w:vertAlign w:val="baseline"/>
                <w:lang w:val="en-US" w:eastAsia="zh-CN"/>
              </w:rPr>
              <w:tab/>
            </w:r>
            <w:r>
              <w:rPr>
                <w:rFonts w:hint="eastAsia" w:ascii="宋体" w:hAnsi="宋体" w:eastAsia="宋体" w:cs="宋体"/>
                <w:sz w:val="21"/>
                <w:szCs w:val="21"/>
                <w:vertAlign w:val="baseline"/>
                <w:lang w:val="en-US" w:eastAsia="zh-CN"/>
              </w:rPr>
              <w:t>1.92 TB</w:t>
            </w:r>
          </w:p>
          <w:p>
            <w:pPr>
              <w:numPr>
                <w:ilvl w:val="0"/>
                <w:numId w:val="7"/>
              </w:numPr>
              <w:jc w:val="left"/>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尺寸规格</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lang w:val="en-US" w:eastAsia="zh-CN"/>
              </w:rPr>
              <w:tab/>
            </w:r>
            <w:r>
              <w:rPr>
                <w:rFonts w:hint="eastAsia" w:ascii="宋体" w:hAnsi="宋体" w:eastAsia="宋体" w:cs="宋体"/>
                <w:sz w:val="21"/>
                <w:szCs w:val="21"/>
                <w:vertAlign w:val="baseline"/>
                <w:lang w:val="en-US" w:eastAsia="zh-CN"/>
              </w:rPr>
              <w:t>2.5" 7mm</w:t>
            </w:r>
          </w:p>
          <w:p>
            <w:pPr>
              <w:numPr>
                <w:ilvl w:val="0"/>
                <w:numId w:val="7"/>
              </w:numPr>
              <w:jc w:val="left"/>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接口</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lang w:val="en-US" w:eastAsia="zh-CN"/>
              </w:rPr>
              <w:tab/>
            </w:r>
            <w:r>
              <w:rPr>
                <w:rFonts w:hint="eastAsia" w:ascii="宋体" w:hAnsi="宋体" w:eastAsia="宋体" w:cs="宋体"/>
                <w:sz w:val="21"/>
                <w:szCs w:val="21"/>
                <w:vertAlign w:val="baseline"/>
                <w:lang w:val="en-US" w:eastAsia="zh-CN"/>
              </w:rPr>
              <w:t>SATA 6 Gb/s</w:t>
            </w:r>
          </w:p>
          <w:p>
            <w:pPr>
              <w:numPr>
                <w:ilvl w:val="0"/>
                <w:numId w:val="7"/>
              </w:numPr>
              <w:jc w:val="left"/>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性能</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lang w:val="en-US" w:eastAsia="zh-CN"/>
              </w:rPr>
              <w:tab/>
            </w:r>
            <w:r>
              <w:rPr>
                <w:rFonts w:hint="eastAsia" w:ascii="宋体" w:hAnsi="宋体" w:eastAsia="宋体" w:cs="宋体"/>
                <w:sz w:val="21"/>
                <w:szCs w:val="21"/>
                <w:vertAlign w:val="baseline"/>
                <w:lang w:val="en-US" w:eastAsia="zh-CN"/>
              </w:rPr>
              <w:t>持续循序读取</w:t>
            </w:r>
            <w:r>
              <w:rPr>
                <w:rFonts w:hint="eastAsia" w:ascii="宋体" w:hAnsi="宋体" w:eastAsia="宋体" w:cs="宋体"/>
                <w:sz w:val="21"/>
                <w:szCs w:val="21"/>
                <w:vertAlign w:val="baseline"/>
                <w:lang w:val="en-US" w:eastAsia="zh-CN"/>
              </w:rPr>
              <w:tab/>
            </w:r>
            <w:r>
              <w:rPr>
                <w:rFonts w:hint="eastAsia" w:ascii="宋体" w:hAnsi="宋体" w:eastAsia="宋体" w:cs="宋体"/>
                <w:sz w:val="21"/>
                <w:szCs w:val="21"/>
                <w:vertAlign w:val="baseline"/>
                <w:lang w:val="en-US" w:eastAsia="zh-CN"/>
              </w:rPr>
              <w:t>530 MB/s</w:t>
            </w:r>
          </w:p>
          <w:p>
            <w:pPr>
              <w:numPr>
                <w:ilvl w:val="0"/>
                <w:numId w:val="7"/>
              </w:num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质保：5年</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 w:val="18"/>
                <w:szCs w:val="18"/>
              </w:rPr>
            </w:pPr>
            <w:r>
              <w:rPr>
                <w:rFonts w:hint="eastAsia" w:ascii="宋体" w:hAnsi="宋体" w:eastAsia="宋体" w:cs="宋体"/>
                <w:sz w:val="21"/>
                <w:szCs w:val="21"/>
                <w:vertAlign w:val="baseline"/>
                <w:lang w:val="en-US" w:eastAsia="zh-CN"/>
              </w:rPr>
              <w:t>3</w:t>
            </w:r>
          </w:p>
        </w:tc>
        <w:tc>
          <w:tcPr>
            <w:tcW w:w="41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块</w:t>
            </w:r>
          </w:p>
        </w:tc>
      </w:tr>
      <w:tr>
        <w:tblPrEx>
          <w:tblCellMar>
            <w:top w:w="0" w:type="dxa"/>
            <w:left w:w="108" w:type="dxa"/>
            <w:bottom w:w="0" w:type="dxa"/>
            <w:right w:w="108" w:type="dxa"/>
          </w:tblCellMar>
        </w:tblPrEx>
        <w:trPr>
          <w:trHeight w:val="400" w:hRule="atLeast"/>
        </w:trPr>
        <w:tc>
          <w:tcPr>
            <w:tcW w:w="43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6</w:t>
            </w:r>
          </w:p>
        </w:tc>
        <w:tc>
          <w:tcPr>
            <w:tcW w:w="7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微软雅黑" w:hAnsi="微软雅黑" w:eastAsia="微软雅黑" w:cs="微软雅黑"/>
                <w:color w:val="000000"/>
                <w:sz w:val="18"/>
                <w:szCs w:val="18"/>
              </w:rPr>
            </w:pPr>
            <w:r>
              <w:rPr>
                <w:rFonts w:hint="eastAsia" w:ascii="宋体" w:hAnsi="宋体" w:eastAsia="宋体" w:cs="宋体"/>
                <w:sz w:val="21"/>
                <w:szCs w:val="21"/>
                <w:vertAlign w:val="baseline"/>
              </w:rPr>
              <w:t>导轨</w:t>
            </w:r>
          </w:p>
        </w:tc>
        <w:tc>
          <w:tcPr>
            <w:tcW w:w="2954" w:type="pct"/>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配套上机架使用</w:t>
            </w:r>
          </w:p>
        </w:tc>
        <w:tc>
          <w:tcPr>
            <w:tcW w:w="46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微软雅黑" w:hAnsi="微软雅黑" w:eastAsia="微软雅黑" w:cs="微软雅黑"/>
                <w:color w:val="000000"/>
                <w:sz w:val="18"/>
                <w:szCs w:val="18"/>
              </w:rPr>
            </w:pPr>
            <w:r>
              <w:rPr>
                <w:rFonts w:hint="eastAsia" w:ascii="宋体" w:hAnsi="宋体" w:eastAsia="宋体" w:cs="宋体"/>
                <w:sz w:val="21"/>
                <w:szCs w:val="21"/>
                <w:vertAlign w:val="baseline"/>
                <w:lang w:val="en-US" w:eastAsia="zh-CN"/>
              </w:rPr>
              <w:t>1</w:t>
            </w:r>
          </w:p>
        </w:tc>
        <w:tc>
          <w:tcPr>
            <w:tcW w:w="41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val="en-US" w:eastAsia="zh-CN" w:bidi="ar"/>
              </w:rPr>
              <w:t>套</w:t>
            </w:r>
          </w:p>
        </w:tc>
      </w:tr>
      <w:tr>
        <w:tblPrEx>
          <w:tblCellMar>
            <w:top w:w="0" w:type="dxa"/>
            <w:left w:w="108" w:type="dxa"/>
            <w:bottom w:w="0" w:type="dxa"/>
            <w:right w:w="108" w:type="dxa"/>
          </w:tblCellMar>
        </w:tblPrEx>
        <w:trPr>
          <w:trHeight w:val="598" w:hRule="atLeast"/>
        </w:trPr>
        <w:tc>
          <w:tcPr>
            <w:tcW w:w="43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7</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 w:val="18"/>
                <w:szCs w:val="18"/>
              </w:rPr>
            </w:pPr>
            <w:r>
              <w:rPr>
                <w:rFonts w:hint="eastAsia" w:ascii="宋体" w:hAnsi="宋体" w:eastAsia="宋体" w:cs="宋体"/>
                <w:sz w:val="21"/>
                <w:szCs w:val="21"/>
                <w:vertAlign w:val="baseline"/>
              </w:rPr>
              <w:t>24端口万兆光口交换机</w:t>
            </w:r>
          </w:p>
        </w:tc>
        <w:tc>
          <w:tcPr>
            <w:tcW w:w="2954"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24个1/10G SFP Plus端口，交换容量：2.56Tbps/25.6Tbps，包转发率：480Mpps，无风扇，</w:t>
            </w:r>
            <w:r>
              <w:rPr>
                <w:rFonts w:hint="eastAsia" w:ascii="宋体" w:hAnsi="宋体" w:eastAsia="宋体" w:cs="宋体"/>
                <w:sz w:val="21"/>
                <w:szCs w:val="21"/>
                <w:vertAlign w:val="baseline"/>
                <w:lang w:val="en-US" w:eastAsia="zh-CN"/>
              </w:rPr>
              <w:t>双电源</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 w:val="18"/>
                <w:szCs w:val="18"/>
              </w:rPr>
            </w:pPr>
            <w:r>
              <w:rPr>
                <w:rFonts w:hint="eastAsia" w:ascii="宋体" w:hAnsi="宋体" w:eastAsia="宋体" w:cs="宋体"/>
                <w:sz w:val="21"/>
                <w:szCs w:val="21"/>
                <w:vertAlign w:val="baseline"/>
                <w:lang w:val="en-US" w:eastAsia="zh-CN"/>
              </w:rPr>
              <w:t>1</w:t>
            </w:r>
          </w:p>
        </w:tc>
        <w:tc>
          <w:tcPr>
            <w:tcW w:w="41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台</w:t>
            </w:r>
          </w:p>
        </w:tc>
      </w:tr>
      <w:tr>
        <w:tblPrEx>
          <w:tblCellMar>
            <w:top w:w="0" w:type="dxa"/>
            <w:left w:w="108" w:type="dxa"/>
            <w:bottom w:w="0" w:type="dxa"/>
            <w:right w:w="108" w:type="dxa"/>
          </w:tblCellMar>
        </w:tblPrEx>
        <w:trPr>
          <w:trHeight w:val="400" w:hRule="atLeast"/>
        </w:trPr>
        <w:tc>
          <w:tcPr>
            <w:tcW w:w="43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8</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 w:val="18"/>
                <w:szCs w:val="18"/>
              </w:rPr>
            </w:pPr>
            <w:r>
              <w:rPr>
                <w:rFonts w:hint="eastAsia" w:ascii="宋体" w:hAnsi="宋体" w:eastAsia="宋体" w:cs="宋体"/>
                <w:sz w:val="21"/>
                <w:szCs w:val="21"/>
                <w:vertAlign w:val="baseline"/>
              </w:rPr>
              <w:t>万兆模块</w:t>
            </w:r>
          </w:p>
        </w:tc>
        <w:tc>
          <w:tcPr>
            <w:tcW w:w="2954"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kern w:val="2"/>
                <w:sz w:val="21"/>
                <w:szCs w:val="21"/>
                <w:vertAlign w:val="baseline"/>
                <w:lang w:val="en-US" w:eastAsia="zh-CN" w:bidi="ar-SA"/>
              </w:rPr>
            </w:pPr>
            <w:r>
              <w:rPr>
                <w:rFonts w:hint="eastAsia" w:ascii="宋体" w:hAnsi="宋体" w:eastAsia="宋体" w:cs="宋体"/>
                <w:szCs w:val="21"/>
              </w:rPr>
              <w:t>2端口万兆光接口</w:t>
            </w:r>
            <w:r>
              <w:rPr>
                <w:rFonts w:hint="eastAsia" w:ascii="宋体" w:hAnsi="宋体" w:eastAsia="宋体" w:cs="宋体"/>
                <w:szCs w:val="21"/>
                <w:lang w:val="en-US" w:eastAsia="zh-CN"/>
              </w:rPr>
              <w:t>模块，支持VMware vSphere</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 w:val="18"/>
                <w:szCs w:val="18"/>
              </w:rPr>
            </w:pPr>
            <w:r>
              <w:rPr>
                <w:rFonts w:hint="eastAsia" w:ascii="宋体" w:hAnsi="宋体" w:eastAsia="宋体" w:cs="宋体"/>
                <w:sz w:val="21"/>
                <w:szCs w:val="21"/>
                <w:vertAlign w:val="baseline"/>
                <w:lang w:val="en-US" w:eastAsia="zh-CN"/>
              </w:rPr>
              <w:t>24</w:t>
            </w:r>
          </w:p>
        </w:tc>
        <w:tc>
          <w:tcPr>
            <w:tcW w:w="41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个</w:t>
            </w:r>
          </w:p>
        </w:tc>
      </w:tr>
      <w:tr>
        <w:tblPrEx>
          <w:tblCellMar>
            <w:top w:w="0" w:type="dxa"/>
            <w:left w:w="108" w:type="dxa"/>
            <w:bottom w:w="0" w:type="dxa"/>
            <w:right w:w="108" w:type="dxa"/>
          </w:tblCellMar>
        </w:tblPrEx>
        <w:trPr>
          <w:trHeight w:val="400" w:hRule="atLeast"/>
        </w:trPr>
        <w:tc>
          <w:tcPr>
            <w:tcW w:w="43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9</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 w:val="18"/>
                <w:szCs w:val="18"/>
              </w:rPr>
            </w:pPr>
            <w:r>
              <w:rPr>
                <w:rFonts w:hint="eastAsia" w:ascii="宋体" w:hAnsi="宋体" w:eastAsia="宋体" w:cs="宋体"/>
                <w:sz w:val="21"/>
                <w:szCs w:val="21"/>
                <w:vertAlign w:val="baseline"/>
              </w:rPr>
              <w:t>LC-LC室内跳线</w:t>
            </w:r>
          </w:p>
        </w:tc>
        <w:tc>
          <w:tcPr>
            <w:tcW w:w="2954"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3m</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 w:val="18"/>
                <w:szCs w:val="18"/>
              </w:rPr>
            </w:pPr>
            <w:r>
              <w:rPr>
                <w:rFonts w:hint="eastAsia" w:ascii="宋体" w:hAnsi="宋体" w:eastAsia="宋体" w:cs="宋体"/>
                <w:sz w:val="21"/>
                <w:szCs w:val="21"/>
                <w:vertAlign w:val="baseline"/>
                <w:lang w:val="en-US" w:eastAsia="zh-CN"/>
              </w:rPr>
              <w:t>24</w:t>
            </w:r>
          </w:p>
        </w:tc>
        <w:tc>
          <w:tcPr>
            <w:tcW w:w="41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条</w:t>
            </w:r>
          </w:p>
        </w:tc>
      </w:tr>
      <w:tr>
        <w:tblPrEx>
          <w:tblCellMar>
            <w:top w:w="0" w:type="dxa"/>
            <w:left w:w="108" w:type="dxa"/>
            <w:bottom w:w="0" w:type="dxa"/>
            <w:right w:w="108" w:type="dxa"/>
          </w:tblCellMar>
        </w:tblPrEx>
        <w:trPr>
          <w:trHeight w:val="400" w:hRule="atLeast"/>
        </w:trPr>
        <w:tc>
          <w:tcPr>
            <w:tcW w:w="43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10</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 w:val="18"/>
                <w:szCs w:val="18"/>
              </w:rPr>
            </w:pPr>
            <w:r>
              <w:rPr>
                <w:rFonts w:hint="eastAsia" w:ascii="宋体" w:hAnsi="宋体" w:eastAsia="宋体" w:cs="宋体"/>
                <w:sz w:val="21"/>
                <w:szCs w:val="21"/>
                <w:vertAlign w:val="baseline"/>
              </w:rPr>
              <w:t>服务器网卡</w:t>
            </w:r>
          </w:p>
        </w:tc>
        <w:tc>
          <w:tcPr>
            <w:tcW w:w="2954" w:type="pct"/>
            <w:tcBorders>
              <w:top w:val="single" w:color="000000" w:sz="4" w:space="0"/>
              <w:left w:val="single" w:color="auto" w:sz="4" w:space="0"/>
              <w:bottom w:val="single" w:color="000000" w:sz="4" w:space="0"/>
              <w:right w:val="single" w:color="000000" w:sz="4" w:space="0"/>
            </w:tcBorders>
            <w:noWrap w:val="0"/>
            <w:vAlign w:val="center"/>
          </w:tcPr>
          <w:p>
            <w:pPr>
              <w:jc w:val="left"/>
              <w:rPr>
                <w:rFonts w:hint="default" w:ascii="宋体" w:hAnsi="宋体" w:eastAsia="宋体" w:cs="宋体"/>
                <w:kern w:val="2"/>
                <w:sz w:val="21"/>
                <w:szCs w:val="21"/>
                <w:vertAlign w:val="baseline"/>
                <w:lang w:val="en-US" w:eastAsia="zh-CN" w:bidi="ar-SA"/>
              </w:rPr>
            </w:pPr>
            <w:r>
              <w:rPr>
                <w:rFonts w:hint="eastAsia" w:ascii="宋体" w:hAnsi="宋体" w:eastAsia="宋体" w:cs="宋体"/>
                <w:szCs w:val="21"/>
              </w:rPr>
              <w:t>2端口万兆光接口网卡(SFP+)-560F-B2</w:t>
            </w:r>
            <w:r>
              <w:rPr>
                <w:rFonts w:hint="eastAsia" w:ascii="宋体" w:hAnsi="宋体" w:eastAsia="宋体" w:cs="宋体"/>
                <w:szCs w:val="21"/>
                <w:lang w:eastAsia="zh-CN"/>
              </w:rPr>
              <w:t>，</w:t>
            </w:r>
            <w:r>
              <w:rPr>
                <w:rFonts w:hint="eastAsia" w:ascii="宋体" w:hAnsi="宋体" w:eastAsia="宋体" w:cs="宋体"/>
                <w:szCs w:val="21"/>
                <w:lang w:val="en-US" w:eastAsia="zh-CN"/>
              </w:rPr>
              <w:t>含万兆光模块</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 w:val="18"/>
                <w:szCs w:val="18"/>
              </w:rPr>
            </w:pPr>
            <w:r>
              <w:rPr>
                <w:rFonts w:hint="eastAsia" w:ascii="宋体" w:hAnsi="宋体" w:eastAsia="宋体" w:cs="宋体"/>
                <w:sz w:val="21"/>
                <w:szCs w:val="21"/>
                <w:vertAlign w:val="baseline"/>
                <w:lang w:val="en-US" w:eastAsia="zh-CN"/>
              </w:rPr>
              <w:t>6</w:t>
            </w:r>
          </w:p>
        </w:tc>
        <w:tc>
          <w:tcPr>
            <w:tcW w:w="411" w:type="pct"/>
            <w:gridSpan w:val="2"/>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center"/>
              <w:rPr>
                <w:rFonts w:hint="eastAsia"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个</w:t>
            </w:r>
          </w:p>
        </w:tc>
      </w:tr>
      <w:tr>
        <w:tblPrEx>
          <w:tblCellMar>
            <w:top w:w="0" w:type="dxa"/>
            <w:left w:w="108" w:type="dxa"/>
            <w:bottom w:w="0" w:type="dxa"/>
            <w:right w:w="108" w:type="dxa"/>
          </w:tblCellMar>
        </w:tblPrEx>
        <w:trPr>
          <w:gridAfter w:val="1"/>
          <w:wAfter w:w="2" w:type="pct"/>
          <w:trHeight w:val="400" w:hRule="atLeast"/>
        </w:trPr>
        <w:tc>
          <w:tcPr>
            <w:tcW w:w="1165" w:type="pct"/>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bottom"/>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商务条款</w:t>
            </w:r>
          </w:p>
        </w:tc>
        <w:tc>
          <w:tcPr>
            <w:tcW w:w="3831" w:type="pct"/>
            <w:gridSpan w:val="3"/>
            <w:tcBorders>
              <w:top w:val="single" w:color="000000" w:sz="4" w:space="0"/>
              <w:left w:val="single" w:color="auto" w:sz="4" w:space="0"/>
              <w:bottom w:val="single" w:color="000000" w:sz="4" w:space="0"/>
              <w:right w:val="single" w:color="000000" w:sz="4" w:space="0"/>
            </w:tcBorders>
            <w:noWrap w:val="0"/>
            <w:vAlign w:val="center"/>
          </w:tcPr>
          <w:p>
            <w:pPr>
              <w:widowControl/>
              <w:numPr>
                <w:ilvl w:val="0"/>
                <w:numId w:val="8"/>
              </w:numPr>
              <w:jc w:val="left"/>
              <w:textAlignment w:val="bottom"/>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val="en-US" w:eastAsia="zh-CN" w:bidi="ar"/>
              </w:rPr>
              <w:t>兼容性要求：投标人所供的产品、软件必须能兼容并接入南南铝业股份有限公司数据中心现有系统架构，对原有数据不造成损失。</w:t>
            </w:r>
          </w:p>
          <w:p>
            <w:pPr>
              <w:widowControl/>
              <w:numPr>
                <w:ilvl w:val="0"/>
                <w:numId w:val="8"/>
              </w:numPr>
              <w:jc w:val="left"/>
              <w:textAlignment w:val="bottom"/>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交货期：自合同签订之日起15 日内完成设备的供应和安装调试；</w:t>
            </w:r>
          </w:p>
          <w:p>
            <w:pPr>
              <w:widowControl/>
              <w:numPr>
                <w:ilvl w:val="0"/>
                <w:numId w:val="8"/>
              </w:numPr>
              <w:jc w:val="left"/>
              <w:textAlignment w:val="bottom"/>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质保期：</w:t>
            </w:r>
            <w:r>
              <w:rPr>
                <w:rFonts w:hint="eastAsia" w:ascii="微软雅黑" w:hAnsi="微软雅黑" w:eastAsia="微软雅黑" w:cs="微软雅黑"/>
                <w:color w:val="000000"/>
                <w:kern w:val="0"/>
                <w:sz w:val="18"/>
                <w:szCs w:val="18"/>
                <w:lang w:val="en-US" w:eastAsia="zh-CN" w:bidi="ar"/>
              </w:rPr>
              <w:t>上述清单内单独注明质保期要求的，按照清单内要求执行，其他未标注的产品质保期</w:t>
            </w:r>
            <w:r>
              <w:rPr>
                <w:rFonts w:hint="eastAsia" w:ascii="微软雅黑" w:hAnsi="微软雅黑" w:eastAsia="微软雅黑" w:cs="微软雅黑"/>
                <w:color w:val="000000"/>
                <w:kern w:val="0"/>
                <w:sz w:val="18"/>
                <w:szCs w:val="18"/>
                <w:lang w:bidi="ar"/>
              </w:rPr>
              <w:t>2年</w:t>
            </w:r>
            <w:r>
              <w:rPr>
                <w:rFonts w:hint="eastAsia" w:ascii="微软雅黑" w:hAnsi="微软雅黑" w:eastAsia="微软雅黑" w:cs="微软雅黑"/>
                <w:color w:val="000000"/>
                <w:kern w:val="0"/>
                <w:sz w:val="18"/>
                <w:szCs w:val="18"/>
                <w:lang w:eastAsia="zh-CN" w:bidi="ar"/>
              </w:rPr>
              <w:t>，</w:t>
            </w:r>
            <w:r>
              <w:rPr>
                <w:rFonts w:hint="eastAsia" w:ascii="微软雅黑" w:hAnsi="微软雅黑" w:eastAsia="微软雅黑" w:cs="微软雅黑"/>
                <w:color w:val="000000"/>
                <w:kern w:val="0"/>
                <w:sz w:val="18"/>
                <w:szCs w:val="18"/>
                <w:lang w:bidi="ar"/>
              </w:rPr>
              <w:t>自交货并验收合格之日起计；</w:t>
            </w:r>
          </w:p>
          <w:p>
            <w:pPr>
              <w:widowControl/>
              <w:numPr>
                <w:ilvl w:val="0"/>
                <w:numId w:val="8"/>
              </w:numPr>
              <w:jc w:val="left"/>
              <w:textAlignment w:val="bottom"/>
              <w:rPr>
                <w:rFonts w:hint="eastAsia"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bidi="ar"/>
              </w:rPr>
              <w:t>其他要求：投标报价为招标方指定地点的现场交货价，包括：</w:t>
            </w:r>
            <w:r>
              <w:rPr>
                <w:rFonts w:ascii="微软雅黑" w:hAnsi="微软雅黑" w:eastAsia="微软雅黑" w:cs="微软雅黑"/>
                <w:color w:val="000000"/>
                <w:kern w:val="0"/>
                <w:sz w:val="18"/>
                <w:szCs w:val="18"/>
                <w:lang w:bidi="ar"/>
              </w:rPr>
              <w:t>货物及标准附件、备品备件、专用工具的价格</w:t>
            </w:r>
            <w:r>
              <w:rPr>
                <w:rFonts w:hint="eastAsia" w:ascii="微软雅黑" w:hAnsi="微软雅黑" w:eastAsia="微软雅黑" w:cs="微软雅黑"/>
                <w:color w:val="000000"/>
                <w:kern w:val="0"/>
                <w:sz w:val="18"/>
                <w:szCs w:val="18"/>
                <w:lang w:bidi="ar"/>
              </w:rPr>
              <w:t>；运输、装卸、安装、调试、培训、技术支持、售后服务等费用；必要的保险费用和各项税费；中标方开具增值税专用发票；</w:t>
            </w:r>
          </w:p>
        </w:tc>
      </w:tr>
    </w:tbl>
    <w:p>
      <w:pPr>
        <w:ind w:firstLine="562" w:firstLineChars="200"/>
        <w:rPr>
          <w:rFonts w:ascii="仿宋" w:hAnsi="仿宋" w:eastAsia="仿宋" w:cs="仿宋"/>
          <w:b/>
          <w:bCs/>
          <w:color w:val="000000"/>
          <w:kern w:val="0"/>
          <w:sz w:val="28"/>
          <w:szCs w:val="28"/>
        </w:rPr>
      </w:pPr>
    </w:p>
    <w:p>
      <w:pPr>
        <w:outlineLvl w:val="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br w:type="page"/>
      </w:r>
      <w:bookmarkStart w:id="18" w:name="_Toc6959"/>
      <w:r>
        <w:rPr>
          <w:rFonts w:hint="eastAsia"/>
          <w:b/>
          <w:color w:val="000000"/>
          <w:sz w:val="28"/>
          <w:szCs w:val="28"/>
        </w:rPr>
        <w:t>附件</w:t>
      </w:r>
      <w:bookmarkEnd w:id="17"/>
      <w:r>
        <w:rPr>
          <w:rFonts w:hint="eastAsia"/>
          <w:b/>
          <w:color w:val="000000"/>
          <w:sz w:val="28"/>
          <w:szCs w:val="28"/>
        </w:rPr>
        <w:t>二</w:t>
      </w:r>
      <w:bookmarkEnd w:id="18"/>
    </w:p>
    <w:p>
      <w:pPr>
        <w:keepNext/>
        <w:keepLines/>
        <w:spacing w:line="579" w:lineRule="auto"/>
        <w:jc w:val="center"/>
        <w:rPr>
          <w:b/>
          <w:color w:val="000000"/>
          <w:sz w:val="28"/>
          <w:szCs w:val="28"/>
        </w:rPr>
      </w:pPr>
      <w:r>
        <w:rPr>
          <w:rFonts w:hint="eastAsia" w:ascii="仿宋" w:hAnsi="仿宋" w:eastAsia="仿宋" w:cs="仿宋"/>
          <w:b/>
          <w:bCs/>
          <w:color w:val="000000"/>
          <w:sz w:val="30"/>
          <w:szCs w:val="30"/>
        </w:rPr>
        <w:t>投标函</w:t>
      </w:r>
    </w:p>
    <w:p>
      <w:pPr>
        <w:snapToGrid w:val="0"/>
        <w:spacing w:line="436"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致：南南铝业股份有限公司</w:t>
      </w:r>
    </w:p>
    <w:p>
      <w:pPr>
        <w:snapToGrid w:val="0"/>
        <w:spacing w:line="436" w:lineRule="atLeast"/>
        <w:ind w:left="-40" w:leftChars="-19" w:firstLine="496" w:firstLineChars="207"/>
        <w:rPr>
          <w:rFonts w:hint="eastAsia" w:ascii="仿宋" w:hAnsi="仿宋" w:eastAsia="仿宋" w:cs="仿宋"/>
          <w:color w:val="000000"/>
          <w:sz w:val="24"/>
          <w:szCs w:val="24"/>
        </w:rPr>
      </w:pPr>
      <w:r>
        <w:rPr>
          <w:rFonts w:hint="eastAsia" w:ascii="仿宋" w:hAnsi="仿宋" w:eastAsia="仿宋" w:cs="仿宋"/>
          <w:color w:val="000000"/>
          <w:sz w:val="24"/>
          <w:szCs w:val="24"/>
        </w:rPr>
        <w:t>根据南南铝业股份有限公司</w:t>
      </w:r>
      <w:r>
        <w:rPr>
          <w:rFonts w:hint="eastAsia" w:ascii="仿宋" w:hAnsi="仿宋" w:eastAsia="仿宋" w:cs="仿宋"/>
          <w:color w:val="000000"/>
          <w:sz w:val="24"/>
          <w:szCs w:val="24"/>
          <w:u w:val="single"/>
          <w:lang w:eastAsia="zh-CN"/>
        </w:rPr>
        <w:t>数据中心存储服务器采购项目</w:t>
      </w:r>
      <w:r>
        <w:rPr>
          <w:rFonts w:hint="eastAsia" w:ascii="仿宋" w:hAnsi="仿宋" w:eastAsia="仿宋" w:cs="仿宋"/>
          <w:color w:val="000000"/>
          <w:sz w:val="24"/>
          <w:szCs w:val="24"/>
        </w:rPr>
        <w:t>的招标文件，正式授权下述签字人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（姓名和职务）代表投标供应商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（投标响应单位的名称），提交按招标文件要求编制投标书正本</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份，副本</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份。</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我方已完全明白招标文件的所有条款要求，并重申以下几点：</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1.本投标文件的有效期自投标截止日起</w:t>
      </w:r>
      <w:r>
        <w:rPr>
          <w:rFonts w:hint="eastAsia" w:ascii="仿宋" w:hAnsi="仿宋" w:eastAsia="仿宋" w:cs="仿宋"/>
          <w:b/>
          <w:color w:val="000000"/>
          <w:sz w:val="24"/>
          <w:szCs w:val="24"/>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天内有效，如中标，有效期将延至集中采购协议终止日为止；</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2.保证遵守招标文件中的有关规定的收费标准。</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3.投标价格包含设计、制造、运输、保险、税费、商检、保管、保险、卸货、验收及售后服务及其他相关项目的所有费用。</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4.如果我方中标，我方及我方下属公司、机构均将严格遵守与贵方的相关协议、合同的各项规定，及时为贵方的开发项目提供所需要的产品及相关服务。我方下属公司、机构的任何违约行为，均视为我方违约。</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5.投标文件中所有关于投标资格的文件、证明材料、陈述均是真实的、准确的。若有违背，我方愿意承担由此而产生的一切后果。</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6.我们完全理解贵方不一定接受最低报价的投标响应或收到的任何投标响应。</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7.我们已详细审核全部招标文件及其有效补充文件，我们知道必须放弃提出含糊不清或误解的问题的权利。</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8.如果贵方有要求，我方愿意进一步提供与本投标有关的任何证据或资料。</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9.我方完全理解贵方并无意向在投标阶段与任何投标人建立合约关系，且贵方亦无义务必须接受最低报价的投标或收到的任何投标，同时不需向我方作任何解释。我方同意承担投标过程中产生的所有费用及风险，不因落标而向贵方主张任何费用或权利。</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10.一旦我方被宣布中标，我们将根据招标文件的规定 ，严格按照《合同法》履行自己的责任和义务，完成项目交付甲方验收、使用。</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11.与本投标有关的一切往来通讯请寄：</w:t>
      </w:r>
    </w:p>
    <w:p>
      <w:pPr>
        <w:pStyle w:val="6"/>
        <w:spacing w:line="520" w:lineRule="exact"/>
        <w:ind w:left="840"/>
        <w:rPr>
          <w:rFonts w:hint="eastAsia" w:ascii="仿宋" w:hAnsi="仿宋" w:eastAsia="仿宋" w:cs="仿宋"/>
          <w:color w:val="000000"/>
          <w:szCs w:val="24"/>
        </w:rPr>
      </w:pPr>
      <w:r>
        <w:rPr>
          <w:rFonts w:hint="eastAsia" w:ascii="仿宋" w:hAnsi="仿宋" w:eastAsia="仿宋" w:cs="仿宋"/>
          <w:color w:val="000000"/>
          <w:szCs w:val="24"/>
        </w:rPr>
        <w:t xml:space="preserve"> 地址：</w:t>
      </w:r>
      <w:r>
        <w:rPr>
          <w:rFonts w:hint="eastAsia" w:ascii="仿宋" w:hAnsi="仿宋" w:eastAsia="仿宋" w:cs="仿宋"/>
          <w:color w:val="000000"/>
          <w:szCs w:val="24"/>
          <w:u w:val="single"/>
        </w:rPr>
        <w:t xml:space="preserve">               </w:t>
      </w:r>
      <w:r>
        <w:rPr>
          <w:rFonts w:hint="eastAsia" w:ascii="仿宋" w:hAnsi="仿宋" w:eastAsia="仿宋" w:cs="仿宋"/>
          <w:color w:val="000000"/>
          <w:szCs w:val="24"/>
        </w:rPr>
        <w:t xml:space="preserve"> </w:t>
      </w:r>
      <w:r>
        <w:rPr>
          <w:rFonts w:hint="eastAsia" w:ascii="仿宋" w:hAnsi="仿宋" w:eastAsia="仿宋" w:cs="仿宋"/>
          <w:color w:val="000000"/>
          <w:szCs w:val="24"/>
          <w:u w:val="single"/>
        </w:rPr>
        <w:t xml:space="preserve">                                     </w:t>
      </w:r>
      <w:r>
        <w:rPr>
          <w:rFonts w:hint="eastAsia" w:ascii="仿宋" w:hAnsi="仿宋" w:eastAsia="仿宋" w:cs="仿宋"/>
          <w:color w:val="000000"/>
          <w:szCs w:val="24"/>
        </w:rPr>
        <w:t xml:space="preserve">        </w:t>
      </w:r>
    </w:p>
    <w:p>
      <w:pPr>
        <w:pStyle w:val="6"/>
        <w:spacing w:line="520" w:lineRule="exact"/>
        <w:ind w:firstLine="480" w:firstLineChars="200"/>
        <w:rPr>
          <w:rFonts w:hint="eastAsia" w:ascii="仿宋" w:hAnsi="仿宋" w:eastAsia="仿宋" w:cs="仿宋"/>
          <w:color w:val="000000"/>
          <w:szCs w:val="24"/>
          <w:u w:val="single"/>
        </w:rPr>
      </w:pPr>
      <w:r>
        <w:rPr>
          <w:rFonts w:hint="eastAsia" w:ascii="仿宋" w:hAnsi="仿宋" w:eastAsia="仿宋" w:cs="仿宋"/>
          <w:color w:val="000000"/>
          <w:szCs w:val="24"/>
        </w:rPr>
        <w:t>邮编：</w:t>
      </w:r>
      <w:r>
        <w:rPr>
          <w:rFonts w:hint="eastAsia" w:ascii="仿宋" w:hAnsi="仿宋" w:eastAsia="仿宋" w:cs="仿宋"/>
          <w:color w:val="000000"/>
          <w:szCs w:val="24"/>
          <w:u w:val="single"/>
        </w:rPr>
        <w:t xml:space="preserve">              </w:t>
      </w:r>
      <w:r>
        <w:rPr>
          <w:rFonts w:hint="eastAsia" w:ascii="仿宋" w:hAnsi="仿宋" w:eastAsia="仿宋" w:cs="仿宋"/>
          <w:color w:val="000000"/>
          <w:szCs w:val="24"/>
        </w:rPr>
        <w:t xml:space="preserve">  电话：</w:t>
      </w:r>
      <w:r>
        <w:rPr>
          <w:rFonts w:hint="eastAsia" w:ascii="仿宋" w:hAnsi="仿宋" w:eastAsia="仿宋" w:cs="仿宋"/>
          <w:color w:val="000000"/>
          <w:szCs w:val="24"/>
          <w:u w:val="single"/>
        </w:rPr>
        <w:t xml:space="preserve">                   </w:t>
      </w:r>
      <w:r>
        <w:rPr>
          <w:rFonts w:hint="eastAsia" w:ascii="仿宋" w:hAnsi="仿宋" w:eastAsia="仿宋" w:cs="仿宋"/>
          <w:color w:val="000000"/>
          <w:szCs w:val="24"/>
        </w:rPr>
        <w:t xml:space="preserve"> 传真：</w:t>
      </w:r>
      <w:r>
        <w:rPr>
          <w:rFonts w:hint="eastAsia" w:ascii="仿宋" w:hAnsi="仿宋" w:eastAsia="仿宋" w:cs="仿宋"/>
          <w:color w:val="000000"/>
          <w:szCs w:val="24"/>
          <w:u w:val="single"/>
        </w:rPr>
        <w:t xml:space="preserve">              </w:t>
      </w:r>
      <w:r>
        <w:rPr>
          <w:rFonts w:hint="eastAsia" w:ascii="仿宋" w:hAnsi="仿宋" w:eastAsia="仿宋" w:cs="仿宋"/>
          <w:color w:val="000000"/>
          <w:szCs w:val="24"/>
        </w:rPr>
        <w:t xml:space="preserve">  </w:t>
      </w:r>
      <w:r>
        <w:rPr>
          <w:rFonts w:hint="eastAsia" w:ascii="仿宋" w:hAnsi="仿宋" w:eastAsia="仿宋" w:cs="仿宋"/>
          <w:color w:val="000000"/>
          <w:szCs w:val="24"/>
          <w:u w:val="single"/>
        </w:rPr>
        <w:t xml:space="preserve">             </w:t>
      </w:r>
    </w:p>
    <w:p>
      <w:pPr>
        <w:snapToGrid w:val="0"/>
        <w:spacing w:line="436" w:lineRule="atLeast"/>
        <w:ind w:left="210" w:leftChars="100" w:firstLine="3600" w:firstLineChars="1500"/>
        <w:rPr>
          <w:rFonts w:hint="eastAsia" w:ascii="仿宋" w:hAnsi="仿宋" w:eastAsia="仿宋" w:cs="仿宋"/>
          <w:color w:val="000000"/>
          <w:sz w:val="24"/>
          <w:szCs w:val="24"/>
        </w:rPr>
      </w:pPr>
      <w:r>
        <w:rPr>
          <w:rFonts w:hint="eastAsia" w:ascii="仿宋" w:hAnsi="仿宋" w:eastAsia="仿宋" w:cs="仿宋"/>
          <w:color w:val="000000"/>
          <w:sz w:val="24"/>
          <w:szCs w:val="24"/>
        </w:rPr>
        <w:t>投标单位名称（盖章）：</w:t>
      </w:r>
    </w:p>
    <w:p>
      <w:pPr>
        <w:snapToGrid w:val="0"/>
        <w:spacing w:line="436" w:lineRule="atLeast"/>
        <w:ind w:left="210" w:leftChars="100" w:firstLine="3600" w:firstLineChars="15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投标人授权代表姓名(签字) ：              </w:t>
      </w:r>
    </w:p>
    <w:p>
      <w:pPr>
        <w:snapToGrid w:val="0"/>
        <w:spacing w:line="436" w:lineRule="atLeast"/>
        <w:ind w:left="210" w:leftChars="100" w:firstLine="3600" w:firstLineChars="1500"/>
        <w:rPr>
          <w:rFonts w:hint="eastAsia" w:ascii="仿宋" w:hAnsi="仿宋" w:eastAsia="仿宋" w:cs="仿宋"/>
          <w:color w:val="000000"/>
          <w:sz w:val="24"/>
          <w:szCs w:val="24"/>
        </w:rPr>
      </w:pPr>
      <w:r>
        <w:rPr>
          <w:rFonts w:hint="eastAsia" w:ascii="仿宋" w:hAnsi="仿宋" w:eastAsia="仿宋" w:cs="仿宋"/>
          <w:color w:val="000000"/>
          <w:sz w:val="24"/>
          <w:szCs w:val="24"/>
        </w:rPr>
        <w:t>日期：     　　　年　月　日</w:t>
      </w:r>
    </w:p>
    <w:p>
      <w:pPr>
        <w:snapToGrid w:val="0"/>
        <w:spacing w:line="436" w:lineRule="atLeast"/>
        <w:jc w:val="left"/>
        <w:outlineLvl w:val="0"/>
        <w:rPr>
          <w:rFonts w:hint="eastAsia"/>
          <w:b/>
          <w:color w:val="000000"/>
          <w:sz w:val="28"/>
          <w:szCs w:val="28"/>
        </w:rPr>
      </w:pPr>
      <w:bookmarkStart w:id="19" w:name="_Toc20098"/>
      <w:r>
        <w:rPr>
          <w:rFonts w:hint="eastAsia"/>
          <w:b/>
          <w:color w:val="000000"/>
          <w:sz w:val="28"/>
          <w:szCs w:val="28"/>
        </w:rPr>
        <w:t>附件三</w:t>
      </w:r>
      <w:bookmarkEnd w:id="19"/>
    </w:p>
    <w:p>
      <w:pPr>
        <w:spacing w:line="360" w:lineRule="auto"/>
        <w:jc w:val="center"/>
        <w:rPr>
          <w:rFonts w:hint="eastAsia" w:ascii="仿宋" w:hAnsi="仿宋" w:eastAsia="仿宋" w:cs="仿宋"/>
          <w:b/>
          <w:color w:val="000000"/>
          <w:sz w:val="30"/>
          <w:szCs w:val="30"/>
        </w:rPr>
      </w:pPr>
      <w:bookmarkStart w:id="20" w:name="_Toc409105670"/>
      <w:r>
        <w:rPr>
          <w:rFonts w:hint="eastAsia" w:ascii="仿宋" w:hAnsi="仿宋" w:eastAsia="仿宋" w:cs="仿宋"/>
          <w:b/>
          <w:color w:val="000000"/>
          <w:sz w:val="30"/>
          <w:szCs w:val="30"/>
          <w:u w:val="single"/>
        </w:rPr>
        <w:t>南南铝业</w:t>
      </w:r>
      <w:r>
        <w:rPr>
          <w:rFonts w:hint="eastAsia" w:ascii="仿宋" w:hAnsi="仿宋" w:eastAsia="仿宋" w:cs="仿宋"/>
          <w:b/>
          <w:color w:val="000000"/>
          <w:sz w:val="30"/>
          <w:szCs w:val="30"/>
          <w:u w:val="single"/>
          <w:lang w:eastAsia="zh-CN"/>
        </w:rPr>
        <w:t>数据中心存储服务器采购项目</w:t>
      </w:r>
      <w:r>
        <w:rPr>
          <w:rFonts w:hint="eastAsia" w:ascii="仿宋" w:hAnsi="仿宋" w:eastAsia="仿宋" w:cs="仿宋"/>
          <w:b/>
          <w:color w:val="000000"/>
          <w:sz w:val="30"/>
          <w:szCs w:val="30"/>
        </w:rPr>
        <w:t>采购报价表</w:t>
      </w:r>
    </w:p>
    <w:p>
      <w:pPr>
        <w:wordWrap w:val="0"/>
        <w:spacing w:line="360" w:lineRule="auto"/>
        <w:ind w:firstLine="440" w:firstLineChars="200"/>
        <w:jc w:val="right"/>
        <w:rPr>
          <w:rFonts w:ascii="仿宋" w:hAnsi="仿宋" w:eastAsia="仿宋" w:cs="仿宋"/>
          <w:color w:val="000000"/>
          <w:sz w:val="22"/>
          <w:szCs w:val="24"/>
          <w:u w:val="single"/>
        </w:rPr>
      </w:pPr>
      <w:r>
        <w:rPr>
          <w:rFonts w:hint="eastAsia" w:ascii="仿宋" w:hAnsi="仿宋" w:eastAsia="仿宋" w:cs="仿宋"/>
          <w:color w:val="000000"/>
          <w:sz w:val="22"/>
          <w:szCs w:val="24"/>
        </w:rPr>
        <w:t>----招标编号：</w:t>
      </w:r>
      <w:r>
        <w:rPr>
          <w:rFonts w:hint="eastAsia" w:ascii="仿宋" w:hAnsi="仿宋" w:eastAsia="仿宋" w:cs="仿宋"/>
          <w:color w:val="000000"/>
          <w:sz w:val="22"/>
          <w:szCs w:val="24"/>
          <w:u w:val="single"/>
        </w:rPr>
        <w:t>NNLY-ZB-20220901</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一、报价表</w:t>
      </w:r>
    </w:p>
    <w:tbl>
      <w:tblPr>
        <w:tblStyle w:val="15"/>
        <w:tblW w:w="10320" w:type="dxa"/>
        <w:tblInd w:w="-5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709"/>
        <w:gridCol w:w="1157"/>
        <w:gridCol w:w="4512"/>
        <w:gridCol w:w="85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r>
              <w:rPr>
                <w:rFonts w:hint="eastAsia" w:ascii="宋体" w:hAnsi="宋体" w:cs="宋体"/>
                <w:b/>
                <w:color w:val="333333"/>
                <w:kern w:val="0"/>
              </w:rPr>
              <w:t>项目</w:t>
            </w: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r>
              <w:rPr>
                <w:rFonts w:hint="eastAsia" w:ascii="宋体" w:hAnsi="宋体" w:cs="宋体"/>
                <w:b/>
                <w:color w:val="333333"/>
                <w:kern w:val="0"/>
              </w:rPr>
              <w:t>序号</w:t>
            </w:r>
          </w:p>
        </w:tc>
        <w:tc>
          <w:tcPr>
            <w:tcW w:w="115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r>
              <w:rPr>
                <w:rFonts w:hint="eastAsia" w:ascii="宋体" w:hAnsi="宋体" w:cs="宋体"/>
                <w:b/>
                <w:color w:val="333333"/>
                <w:kern w:val="0"/>
              </w:rPr>
              <w:t>型号</w:t>
            </w:r>
          </w:p>
        </w:tc>
        <w:tc>
          <w:tcPr>
            <w:tcW w:w="4512"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s="宋体"/>
                <w:b/>
                <w:color w:val="333333"/>
                <w:kern w:val="0"/>
                <w:sz w:val="28"/>
                <w:szCs w:val="24"/>
              </w:rPr>
            </w:pPr>
            <w:r>
              <w:rPr>
                <w:rFonts w:hint="eastAsia" w:ascii="宋体" w:hAnsi="宋体" w:cs="宋体"/>
                <w:b/>
                <w:color w:val="333333"/>
                <w:kern w:val="0"/>
              </w:rPr>
              <w:t>说明</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r>
              <w:rPr>
                <w:rFonts w:hint="eastAsia" w:ascii="宋体" w:hAnsi="宋体" w:cs="宋体"/>
                <w:b/>
                <w:color w:val="333333"/>
                <w:kern w:val="0"/>
              </w:rPr>
              <w:t>数量</w:t>
            </w:r>
          </w:p>
        </w:tc>
        <w:tc>
          <w:tcPr>
            <w:tcW w:w="155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r>
              <w:rPr>
                <w:rFonts w:hint="eastAsia" w:ascii="宋体" w:hAnsi="宋体" w:cs="宋体"/>
                <w:b/>
                <w:color w:val="333333"/>
                <w:kern w:val="0"/>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115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4512"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115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4512"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115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4512"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115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4512"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115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4512"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115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4512"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仿宋_GB2312" w:hAnsi="宋体" w:eastAsia="仿宋_GB2312"/>
                <w:b/>
                <w:sz w:val="28"/>
                <w:szCs w:val="28"/>
              </w:rPr>
            </w:pPr>
            <w:r>
              <w:rPr>
                <w:rFonts w:hint="eastAsia" w:ascii="仿宋_GB2312" w:hAnsi="宋体" w:eastAsia="仿宋_GB2312"/>
                <w:b/>
                <w:szCs w:val="28"/>
              </w:rPr>
              <w:t>合计（元）</w:t>
            </w: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仿宋_GB2312" w:hAnsi="宋体" w:eastAsia="仿宋_GB2312"/>
                <w:b/>
                <w:sz w:val="28"/>
                <w:szCs w:val="28"/>
              </w:rPr>
            </w:pPr>
          </w:p>
        </w:tc>
        <w:tc>
          <w:tcPr>
            <w:tcW w:w="115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4512"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仿宋_GB2312" w:hAnsi="宋体" w:eastAsia="仿宋_GB2312"/>
                <w:sz w:val="28"/>
                <w:szCs w:val="28"/>
              </w:rPr>
            </w:pPr>
            <w:r>
              <w:rPr>
                <w:rFonts w:hint="eastAsia" w:ascii="仿宋_GB2312" w:hAnsi="宋体" w:eastAsia="仿宋_GB2312"/>
                <w:szCs w:val="28"/>
              </w:rPr>
              <w:t>商务</w:t>
            </w:r>
          </w:p>
          <w:p>
            <w:pPr>
              <w:widowControl/>
              <w:spacing w:line="360" w:lineRule="auto"/>
              <w:jc w:val="left"/>
              <w:rPr>
                <w:rFonts w:ascii="宋体" w:hAnsi="宋体" w:cs="宋体"/>
                <w:b/>
                <w:color w:val="333333"/>
                <w:kern w:val="0"/>
                <w:sz w:val="28"/>
                <w:szCs w:val="24"/>
              </w:rPr>
            </w:pPr>
            <w:r>
              <w:rPr>
                <w:rFonts w:hint="eastAsia" w:ascii="仿宋_GB2312" w:hAnsi="宋体" w:eastAsia="仿宋_GB2312"/>
                <w:szCs w:val="28"/>
              </w:rPr>
              <w:t>条款</w:t>
            </w: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115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4512"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r>
              <w:rPr>
                <w:rFonts w:hint="eastAsia" w:ascii="仿宋_GB2312" w:hAnsi="宋体" w:eastAsia="仿宋_GB2312"/>
                <w:szCs w:val="28"/>
              </w:rPr>
              <w:t>增值税税率</w:t>
            </w: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115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4512"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仿宋_GB2312" w:hAnsi="宋体" w:eastAsia="仿宋_GB2312"/>
                <w:sz w:val="28"/>
                <w:szCs w:val="28"/>
              </w:rPr>
            </w:pPr>
            <w:r>
              <w:rPr>
                <w:rFonts w:hint="eastAsia" w:ascii="仿宋_GB2312" w:hAnsi="宋体" w:eastAsia="仿宋_GB2312"/>
                <w:szCs w:val="28"/>
              </w:rPr>
              <w:t>其他</w:t>
            </w: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115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4512"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ascii="宋体" w:hAnsi="宋体" w:cs="宋体"/>
                <w:b/>
                <w:color w:val="333333"/>
                <w:kern w:val="0"/>
                <w:sz w:val="28"/>
                <w:szCs w:val="24"/>
              </w:rPr>
            </w:pPr>
          </w:p>
        </w:tc>
      </w:tr>
    </w:tbl>
    <w:p>
      <w:pPr>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二、付款周期：30%预付款，65%验收款，5%质保金</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□同意邀标方要求。</w:t>
      </w:r>
    </w:p>
    <w:p>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□不同意邀标方要求，发票日后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天内支付。</w:t>
      </w:r>
    </w:p>
    <w:p>
      <w:pPr>
        <w:spacing w:line="360" w:lineRule="auto"/>
        <w:ind w:firstLine="482" w:firstLineChars="20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三、付款方式: 电汇或不超过陆个月的银行承兑汇票、商业承兑汇票支付，邀标方不贴息</w:t>
      </w:r>
    </w:p>
    <w:p>
      <w:pPr>
        <w:spacing w:line="360" w:lineRule="auto"/>
        <w:ind w:left="479" w:leftChars="228"/>
        <w:jc w:val="left"/>
        <w:rPr>
          <w:rFonts w:hint="eastAsia" w:ascii="仿宋" w:hAnsi="仿宋" w:eastAsia="仿宋" w:cs="仿宋"/>
          <w:color w:val="000000"/>
          <w:sz w:val="24"/>
          <w:szCs w:val="24"/>
        </w:rPr>
      </w:pPr>
      <w:r>
        <w:rPr>
          <w:rFonts w:hint="eastAsia" w:ascii="仿宋" w:hAnsi="仿宋" w:eastAsia="仿宋" w:cs="仿宋"/>
          <w:color w:val="000000"/>
          <w:sz w:val="24"/>
          <w:szCs w:val="24"/>
        </w:rPr>
        <w:t>□接受邀标方付款方式。</w:t>
      </w:r>
    </w:p>
    <w:p>
      <w:pPr>
        <w:spacing w:line="360" w:lineRule="auto"/>
        <w:ind w:left="479" w:leftChars="228"/>
        <w:jc w:val="left"/>
        <w:rPr>
          <w:rFonts w:hint="eastAsia" w:ascii="仿宋" w:hAnsi="仿宋" w:eastAsia="仿宋" w:cs="仿宋"/>
          <w:color w:val="000000"/>
          <w:sz w:val="24"/>
          <w:szCs w:val="24"/>
        </w:rPr>
      </w:pPr>
      <w:r>
        <w:rPr>
          <w:rFonts w:hint="eastAsia" w:ascii="仿宋" w:hAnsi="仿宋" w:eastAsia="仿宋" w:cs="仿宋"/>
          <w:color w:val="000000"/>
          <w:sz w:val="24"/>
          <w:szCs w:val="24"/>
        </w:rPr>
        <w:t>□不接受邀标方付款方式。采取付款方式为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spacing w:line="360" w:lineRule="auto"/>
        <w:ind w:left="420" w:leftChars="200"/>
        <w:jc w:val="left"/>
        <w:rPr>
          <w:rFonts w:hint="eastAsia" w:ascii="仿宋" w:hAnsi="仿宋" w:eastAsia="仿宋" w:cs="仿宋"/>
          <w:color w:val="FF0000"/>
          <w:sz w:val="24"/>
          <w:szCs w:val="24"/>
        </w:rPr>
      </w:pPr>
      <w:r>
        <w:rPr>
          <w:rFonts w:hint="eastAsia" w:ascii="仿宋" w:hAnsi="仿宋" w:eastAsia="仿宋" w:cs="仿宋"/>
          <w:color w:val="FF0000"/>
          <w:sz w:val="24"/>
          <w:szCs w:val="24"/>
        </w:rPr>
        <w:t>注：请各投标单位严格按投标文件格式填写，投标文件格式中的表格不许更改，如表格更改一律按废标处理。若有补充可以在下方空白处自行添加，</w:t>
      </w:r>
      <w:r>
        <w:rPr>
          <w:rFonts w:hint="eastAsia" w:ascii="仿宋" w:hAnsi="仿宋" w:eastAsia="仿宋" w:cs="仿宋"/>
          <w:b/>
          <w:color w:val="FF0000"/>
          <w:sz w:val="24"/>
          <w:szCs w:val="24"/>
        </w:rPr>
        <w:t>本页可加长</w:t>
      </w:r>
      <w:r>
        <w:rPr>
          <w:rFonts w:hint="eastAsia" w:ascii="仿宋" w:hAnsi="仿宋" w:eastAsia="仿宋" w:cs="仿宋"/>
          <w:color w:val="FF0000"/>
          <w:sz w:val="24"/>
          <w:szCs w:val="24"/>
        </w:rPr>
        <w:t>。</w:t>
      </w:r>
    </w:p>
    <w:p>
      <w:pPr>
        <w:spacing w:line="360" w:lineRule="auto"/>
        <w:ind w:firstLine="4800" w:firstLineChars="2000"/>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投标单位名称（盖章）：</w:t>
      </w:r>
    </w:p>
    <w:p>
      <w:pPr>
        <w:spacing w:line="360" w:lineRule="auto"/>
        <w:ind w:firstLine="4800" w:firstLineChars="20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投标人授权代表姓名(签字)：  </w:t>
      </w:r>
    </w:p>
    <w:p>
      <w:pPr>
        <w:spacing w:line="360" w:lineRule="auto"/>
        <w:ind w:firstLine="4800" w:firstLineChars="2000"/>
        <w:jc w:val="left"/>
        <w:rPr>
          <w:rFonts w:hint="eastAsia" w:ascii="仿宋" w:hAnsi="仿宋" w:eastAsia="仿宋" w:cs="仿宋"/>
          <w:b/>
          <w:color w:val="000000"/>
          <w:sz w:val="28"/>
          <w:szCs w:val="28"/>
        </w:rPr>
      </w:pPr>
      <w:r>
        <w:rPr>
          <w:rFonts w:hint="eastAsia" w:ascii="仿宋" w:hAnsi="仿宋" w:eastAsia="仿宋" w:cs="仿宋"/>
          <w:color w:val="000000"/>
          <w:sz w:val="24"/>
          <w:szCs w:val="24"/>
        </w:rPr>
        <w:t xml:space="preserve">日期：        年   月   日                                          </w:t>
      </w:r>
      <w:bookmarkEnd w:id="20"/>
    </w:p>
    <w:p>
      <w:pPr>
        <w:spacing w:line="360" w:lineRule="auto"/>
        <w:outlineLvl w:val="0"/>
        <w:rPr>
          <w:rStyle w:val="20"/>
        </w:rPr>
        <w:sectPr>
          <w:headerReference r:id="rId3" w:type="default"/>
          <w:footerReference r:id="rId4" w:type="default"/>
          <w:pgSz w:w="11906" w:h="16838"/>
          <w:pgMar w:top="1440" w:right="1418" w:bottom="1134" w:left="1418" w:header="851" w:footer="992" w:gutter="0"/>
          <w:cols w:space="720" w:num="1"/>
          <w:docGrid w:type="lines" w:linePitch="312" w:charSpace="0"/>
        </w:sectPr>
      </w:pPr>
    </w:p>
    <w:p>
      <w:pPr>
        <w:spacing w:line="360" w:lineRule="auto"/>
        <w:outlineLvl w:val="0"/>
        <w:rPr>
          <w:rFonts w:hint="eastAsia" w:ascii="仿宋" w:hAnsi="仿宋" w:eastAsia="仿宋" w:cs="仿宋"/>
          <w:color w:val="000000"/>
          <w:sz w:val="24"/>
          <w:szCs w:val="24"/>
        </w:rPr>
      </w:pPr>
      <w:bookmarkStart w:id="21" w:name="_Toc28927"/>
      <w:r>
        <w:rPr>
          <w:rStyle w:val="20"/>
          <w:rFonts w:hint="eastAsia"/>
        </w:rPr>
        <w:t>附件四</w:t>
      </w:r>
      <w:bookmarkEnd w:id="21"/>
    </w:p>
    <w:p>
      <w:pPr>
        <w:spacing w:line="52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法定代表人资格证书及授权委托书</w:t>
      </w:r>
    </w:p>
    <w:p>
      <w:pPr>
        <w:pStyle w:val="9"/>
        <w:spacing w:line="440" w:lineRule="exact"/>
        <w:jc w:val="center"/>
        <w:rPr>
          <w:rFonts w:hint="eastAsia" w:ascii="仿宋" w:hAnsi="仿宋" w:eastAsia="仿宋" w:cs="仿宋"/>
          <w:color w:val="000000"/>
          <w:sz w:val="32"/>
          <w:szCs w:val="32"/>
        </w:rPr>
      </w:pPr>
    </w:p>
    <w:p>
      <w:pPr>
        <w:pStyle w:val="9"/>
        <w:spacing w:line="440" w:lineRule="exact"/>
        <w:jc w:val="center"/>
        <w:rPr>
          <w:rFonts w:hint="eastAsia" w:ascii="仿宋" w:hAnsi="仿宋" w:eastAsia="仿宋" w:cs="仿宋"/>
          <w:color w:val="000000"/>
        </w:rPr>
      </w:pPr>
      <w:r>
        <w:rPr>
          <w:rFonts w:hint="eastAsia" w:ascii="仿宋" w:hAnsi="仿宋" w:eastAsia="仿宋" w:cs="仿宋"/>
          <w:color w:val="000000"/>
        </w:rPr>
        <w:t>法 定 代 表 人 资 格 书</w:t>
      </w:r>
    </w:p>
    <w:p>
      <w:pPr>
        <w:snapToGrid w:val="0"/>
        <w:spacing w:line="640" w:lineRule="exact"/>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南南铝业股份有限公司</w:t>
      </w:r>
      <w:r>
        <w:rPr>
          <w:rFonts w:hint="eastAsia" w:ascii="仿宋" w:hAnsi="仿宋" w:eastAsia="仿宋" w:cs="仿宋"/>
          <w:color w:val="000000"/>
          <w:sz w:val="24"/>
        </w:rPr>
        <w:t>：</w:t>
      </w:r>
    </w:p>
    <w:p>
      <w:pPr>
        <w:snapToGrid w:val="0"/>
        <w:spacing w:line="640" w:lineRule="exact"/>
        <w:rPr>
          <w:rFonts w:hint="eastAsia" w:ascii="仿宋" w:hAnsi="仿宋" w:eastAsia="仿宋" w:cs="仿宋"/>
          <w:color w:val="000000"/>
          <w:sz w:val="24"/>
        </w:rPr>
      </w:pPr>
      <w:r>
        <w:rPr>
          <w:rFonts w:hint="eastAsia" w:ascii="仿宋" w:hAnsi="仿宋" w:eastAsia="仿宋" w:cs="仿宋"/>
          <w:color w:val="000000"/>
          <w:sz w:val="24"/>
        </w:rPr>
        <w:t>姓名：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性别：</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出生日期：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pPr>
        <w:snapToGrid w:val="0"/>
        <w:spacing w:line="640" w:lineRule="exact"/>
        <w:rPr>
          <w:rFonts w:hint="eastAsia" w:ascii="仿宋" w:hAnsi="仿宋" w:eastAsia="仿宋" w:cs="仿宋"/>
          <w:color w:val="000000"/>
          <w:sz w:val="24"/>
        </w:rPr>
      </w:pPr>
      <w:r>
        <w:rPr>
          <w:rFonts w:hint="eastAsia" w:ascii="仿宋" w:hAnsi="仿宋" w:eastAsia="仿宋" w:cs="仿宋"/>
          <w:color w:val="000000"/>
          <w:sz w:val="24"/>
        </w:rPr>
        <w:t>系</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（投标人名称）的法定代表人。</w:t>
      </w:r>
    </w:p>
    <w:p>
      <w:pPr>
        <w:snapToGrid w:val="0"/>
        <w:spacing w:line="640" w:lineRule="exact"/>
        <w:rPr>
          <w:rFonts w:hint="eastAsia" w:ascii="仿宋" w:hAnsi="仿宋" w:eastAsia="仿宋" w:cs="仿宋"/>
          <w:color w:val="000000"/>
          <w:sz w:val="24"/>
          <w:u w:val="single"/>
        </w:rPr>
      </w:pPr>
      <w:r>
        <w:rPr>
          <w:rFonts w:hint="eastAsia" w:ascii="仿宋" w:hAnsi="仿宋" w:eastAsia="仿宋" w:cs="仿宋"/>
          <w:color w:val="000000"/>
          <w:sz w:val="24"/>
        </w:rPr>
        <w:t>特此证明。</w:t>
      </w:r>
    </w:p>
    <w:p>
      <w:pPr>
        <w:ind w:firstLine="397"/>
        <w:rPr>
          <w:rFonts w:hint="eastAsia" w:ascii="仿宋" w:hAnsi="仿宋" w:eastAsia="仿宋" w:cs="仿宋"/>
          <w:color w:val="000000"/>
          <w:sz w:val="24"/>
        </w:rPr>
      </w:pPr>
    </w:p>
    <w:p>
      <w:pPr>
        <w:ind w:firstLine="397"/>
        <w:rPr>
          <w:rFonts w:hint="eastAsia" w:ascii="仿宋" w:hAnsi="仿宋" w:eastAsia="仿宋" w:cs="仿宋"/>
          <w:color w:val="000000"/>
          <w:sz w:val="24"/>
        </w:rPr>
      </w:pPr>
    </w:p>
    <w:p>
      <w:pPr>
        <w:snapToGrid w:val="0"/>
        <w:spacing w:line="300" w:lineRule="auto"/>
        <w:jc w:val="center"/>
        <w:rPr>
          <w:rFonts w:hint="eastAsia" w:ascii="仿宋" w:hAnsi="仿宋" w:eastAsia="仿宋" w:cs="仿宋"/>
          <w:color w:val="000000"/>
          <w:sz w:val="24"/>
        </w:rPr>
      </w:pPr>
      <w:r>
        <w:rPr>
          <w:rFonts w:hint="eastAsia" w:ascii="仿宋" w:hAnsi="仿宋" w:eastAsia="仿宋" w:cs="仿宋"/>
          <w:color w:val="000000"/>
          <w:sz w:val="24"/>
        </w:rPr>
        <w:t>授 权 委 托 书</w:t>
      </w:r>
    </w:p>
    <w:p>
      <w:pPr>
        <w:snapToGrid w:val="0"/>
        <w:spacing w:line="600" w:lineRule="exact"/>
        <w:ind w:firstLine="555"/>
        <w:rPr>
          <w:rFonts w:hint="eastAsia" w:ascii="仿宋" w:hAnsi="仿宋" w:eastAsia="仿宋" w:cs="仿宋"/>
          <w:color w:val="000000"/>
          <w:sz w:val="24"/>
        </w:rPr>
      </w:pPr>
      <w:r>
        <w:rPr>
          <w:rFonts w:hint="eastAsia" w:ascii="仿宋" w:hAnsi="仿宋" w:eastAsia="仿宋" w:cs="仿宋"/>
          <w:color w:val="000000"/>
          <w:sz w:val="24"/>
        </w:rPr>
        <w:t>授权委托书声明：本人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（姓名）系</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（投标人名称）的法定代表人，现授权委托</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（单位名称）的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（姓名）为我公司代理人，参加（招标人）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的项目投标活动。代理人在投标、开标、评标谈判过程中签署的所有文件和处理与之有关的一切事务，我均于承认。</w:t>
      </w:r>
    </w:p>
    <w:p>
      <w:pPr>
        <w:snapToGrid w:val="0"/>
        <w:spacing w:line="600" w:lineRule="exact"/>
        <w:ind w:firstLine="555"/>
        <w:rPr>
          <w:rFonts w:hint="eastAsia" w:ascii="仿宋" w:hAnsi="仿宋" w:eastAsia="仿宋" w:cs="仿宋"/>
          <w:color w:val="000000"/>
          <w:sz w:val="24"/>
        </w:rPr>
      </w:pPr>
      <w:r>
        <w:rPr>
          <w:rFonts w:hint="eastAsia" w:ascii="仿宋" w:hAnsi="仿宋" w:eastAsia="仿宋" w:cs="仿宋"/>
          <w:color w:val="000000"/>
          <w:sz w:val="24"/>
        </w:rPr>
        <w:t>代理人无转委托权。特此委托。</w:t>
      </w:r>
    </w:p>
    <w:p>
      <w:pPr>
        <w:snapToGrid w:val="0"/>
        <w:spacing w:line="600" w:lineRule="exact"/>
        <w:rPr>
          <w:rFonts w:hint="eastAsia" w:ascii="仿宋" w:hAnsi="仿宋" w:eastAsia="仿宋" w:cs="仿宋"/>
          <w:color w:val="000000"/>
          <w:sz w:val="24"/>
        </w:rPr>
      </w:pPr>
      <w:r>
        <w:rPr>
          <w:rFonts w:hint="eastAsia" w:ascii="仿宋" w:hAnsi="仿宋" w:eastAsia="仿宋" w:cs="仿宋"/>
          <w:color w:val="000000"/>
          <w:sz w:val="24"/>
        </w:rPr>
        <w:t>代理人：               性别：              出生日期：</w:t>
      </w:r>
    </w:p>
    <w:p>
      <w:pPr>
        <w:snapToGrid w:val="0"/>
        <w:spacing w:line="600" w:lineRule="exact"/>
        <w:rPr>
          <w:rFonts w:hint="eastAsia" w:ascii="仿宋" w:hAnsi="仿宋" w:eastAsia="仿宋" w:cs="仿宋"/>
          <w:color w:val="000000"/>
          <w:sz w:val="24"/>
        </w:rPr>
      </w:pPr>
      <w:r>
        <w:rPr>
          <w:rFonts w:hint="eastAsia" w:ascii="仿宋" w:hAnsi="仿宋" w:eastAsia="仿宋" w:cs="仿宋"/>
          <w:color w:val="000000"/>
          <w:sz w:val="24"/>
        </w:rPr>
        <w:t>单位：                 部门：              职    务：</w:t>
      </w:r>
    </w:p>
    <w:p>
      <w:pPr>
        <w:snapToGrid w:val="0"/>
        <w:spacing w:line="600" w:lineRule="exact"/>
        <w:rPr>
          <w:rFonts w:hint="eastAsia" w:ascii="仿宋" w:hAnsi="仿宋" w:eastAsia="仿宋" w:cs="仿宋"/>
          <w:color w:val="000000"/>
          <w:sz w:val="24"/>
        </w:rPr>
      </w:pPr>
      <w:r>
        <w:rPr>
          <w:rFonts w:hint="eastAsia" w:ascii="仿宋" w:hAnsi="仿宋" w:eastAsia="仿宋" w:cs="仿宋"/>
          <w:color w:val="000000"/>
          <w:sz w:val="24"/>
        </w:rPr>
        <w:t>联系方式：</w:t>
      </w:r>
    </w:p>
    <w:p>
      <w:pPr>
        <w:snapToGrid w:val="0"/>
        <w:spacing w:line="600" w:lineRule="exact"/>
        <w:rPr>
          <w:rFonts w:hint="eastAsia" w:ascii="仿宋" w:hAnsi="仿宋" w:eastAsia="仿宋" w:cs="仿宋"/>
          <w:color w:val="000000"/>
          <w:sz w:val="24"/>
        </w:rPr>
      </w:pPr>
      <w:r>
        <w:rPr>
          <w:rFonts w:hint="eastAsia" w:ascii="仿宋" w:hAnsi="仿宋" w:eastAsia="仿宋" w:cs="仿宋"/>
          <w:color w:val="000000"/>
          <w:sz w:val="24"/>
        </w:rPr>
        <w:t>身份证号码：</w:t>
      </w:r>
    </w:p>
    <w:p>
      <w:pPr>
        <w:snapToGrid w:val="0"/>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（后附委托人及受托人身份证复印件）</w:t>
      </w:r>
    </w:p>
    <w:p>
      <w:pPr>
        <w:snapToGrid w:val="0"/>
        <w:spacing w:line="360" w:lineRule="auto"/>
        <w:ind w:firstLine="4320" w:firstLineChars="1800"/>
        <w:rPr>
          <w:rFonts w:hint="eastAsia" w:ascii="仿宋" w:hAnsi="仿宋" w:eastAsia="仿宋" w:cs="仿宋"/>
          <w:color w:val="000000"/>
          <w:sz w:val="24"/>
        </w:rPr>
      </w:pPr>
      <w:r>
        <w:rPr>
          <w:rFonts w:hint="eastAsia" w:ascii="仿宋" w:hAnsi="仿宋" w:eastAsia="仿宋" w:cs="仿宋"/>
          <w:color w:val="000000"/>
          <w:sz w:val="24"/>
        </w:rPr>
        <w:t>投  标  人：（盖章）</w:t>
      </w:r>
    </w:p>
    <w:p>
      <w:pPr>
        <w:snapToGrid w:val="0"/>
        <w:spacing w:line="360" w:lineRule="auto"/>
        <w:ind w:firstLine="4320" w:firstLineChars="1800"/>
        <w:rPr>
          <w:rFonts w:hint="eastAsia" w:ascii="仿宋" w:hAnsi="仿宋" w:eastAsia="仿宋" w:cs="仿宋"/>
          <w:color w:val="000000"/>
          <w:sz w:val="24"/>
        </w:rPr>
      </w:pPr>
      <w:r>
        <w:rPr>
          <w:rFonts w:hint="eastAsia" w:ascii="仿宋" w:hAnsi="仿宋" w:eastAsia="仿宋" w:cs="仿宋"/>
          <w:color w:val="000000"/>
          <w:sz w:val="24"/>
        </w:rPr>
        <w:t>法定代表人：（签字盖章）</w:t>
      </w:r>
    </w:p>
    <w:p>
      <w:pPr>
        <w:snapToGrid w:val="0"/>
        <w:spacing w:line="360" w:lineRule="auto"/>
        <w:ind w:firstLine="4320" w:firstLineChars="1800"/>
        <w:rPr>
          <w:rFonts w:hint="eastAsia" w:ascii="仿宋" w:hAnsi="仿宋" w:eastAsia="仿宋" w:cs="仿宋"/>
          <w:color w:val="000000"/>
          <w:sz w:val="24"/>
        </w:rPr>
      </w:pPr>
      <w:r>
        <w:rPr>
          <w:rFonts w:hint="eastAsia" w:ascii="仿宋" w:hAnsi="仿宋" w:eastAsia="仿宋" w:cs="仿宋"/>
          <w:color w:val="000000"/>
          <w:sz w:val="24"/>
          <w:szCs w:val="24"/>
        </w:rPr>
        <w:t xml:space="preserve">日期：        年   月   日   </w:t>
      </w:r>
    </w:p>
    <w:p>
      <w:pPr>
        <w:snapToGrid w:val="0"/>
        <w:spacing w:line="360" w:lineRule="auto"/>
        <w:rPr>
          <w:rFonts w:hint="eastAsia" w:ascii="仿宋" w:hAnsi="仿宋" w:eastAsia="仿宋" w:cs="仿宋"/>
          <w:b/>
          <w:color w:val="000000"/>
          <w:sz w:val="28"/>
          <w:szCs w:val="28"/>
        </w:rPr>
      </w:pPr>
    </w:p>
    <w:p>
      <w:pPr>
        <w:snapToGrid w:val="0"/>
        <w:spacing w:line="360" w:lineRule="auto"/>
        <w:rPr>
          <w:rFonts w:hint="eastAsia" w:ascii="仿宋" w:hAnsi="仿宋" w:eastAsia="仿宋" w:cs="仿宋"/>
          <w:b/>
          <w:color w:val="000000"/>
          <w:sz w:val="28"/>
          <w:szCs w:val="28"/>
        </w:rPr>
      </w:pPr>
    </w:p>
    <w:p>
      <w:pPr>
        <w:spacing w:line="520" w:lineRule="exact"/>
        <w:outlineLvl w:val="0"/>
        <w:rPr>
          <w:rStyle w:val="20"/>
          <w:rFonts w:hint="eastAsia"/>
          <w:b w:val="0"/>
        </w:rPr>
      </w:pPr>
      <w:bookmarkStart w:id="22" w:name="_Toc1942"/>
      <w:r>
        <w:rPr>
          <w:rStyle w:val="20"/>
          <w:rFonts w:hint="eastAsia"/>
        </w:rPr>
        <w:t>附件五</w:t>
      </w:r>
      <w:bookmarkEnd w:id="22"/>
    </w:p>
    <w:p>
      <w:pPr>
        <w:snapToGrid w:val="0"/>
        <w:spacing w:line="36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资质证明文件</w:t>
      </w:r>
    </w:p>
    <w:p>
      <w:pPr>
        <w:rPr>
          <w:rFonts w:hint="eastAsia" w:ascii="仿宋" w:hAnsi="仿宋" w:eastAsia="仿宋" w:cs="仿宋"/>
          <w:b/>
          <w:color w:val="000000"/>
          <w:sz w:val="24"/>
          <w:szCs w:val="24"/>
        </w:rPr>
      </w:pPr>
      <w:r>
        <w:rPr>
          <w:rFonts w:hint="eastAsia" w:ascii="仿宋" w:hAnsi="仿宋" w:eastAsia="仿宋" w:cs="仿宋"/>
          <w:b/>
          <w:color w:val="000000"/>
          <w:sz w:val="24"/>
          <w:szCs w:val="24"/>
        </w:rPr>
        <w:t>含以下文件：</w:t>
      </w:r>
    </w:p>
    <w:p>
      <w:p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a.营业执照、税务登记证及组织机构代码证</w:t>
      </w:r>
    </w:p>
    <w:p>
      <w:p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b.投标方资信等级证明；</w:t>
      </w:r>
    </w:p>
    <w:p>
      <w:p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c.主要投标货物原厂授权证明文件；</w:t>
      </w:r>
    </w:p>
    <w:p>
      <w:p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d．及其他可以提供的资质证明文件。</w:t>
      </w:r>
    </w:p>
    <w:p>
      <w:pPr>
        <w:spacing w:line="500" w:lineRule="exact"/>
        <w:ind w:right="560"/>
        <w:rPr>
          <w:rFonts w:hint="eastAsia" w:ascii="仿宋" w:hAnsi="仿宋" w:eastAsia="仿宋" w:cs="仿宋"/>
          <w:b/>
          <w:color w:val="000000"/>
          <w:sz w:val="28"/>
          <w:szCs w:val="28"/>
        </w:rPr>
      </w:pPr>
    </w:p>
    <w:p>
      <w:pPr>
        <w:spacing w:line="500" w:lineRule="exact"/>
        <w:ind w:right="560"/>
        <w:rPr>
          <w:rFonts w:hint="eastAsia" w:ascii="仿宋" w:hAnsi="仿宋" w:eastAsia="仿宋" w:cs="仿宋"/>
          <w:b/>
          <w:color w:val="000000"/>
          <w:sz w:val="28"/>
          <w:szCs w:val="28"/>
        </w:rPr>
      </w:pPr>
    </w:p>
    <w:p>
      <w:pPr>
        <w:spacing w:line="500" w:lineRule="exact"/>
        <w:ind w:right="560"/>
        <w:rPr>
          <w:rFonts w:hint="eastAsia" w:ascii="仿宋" w:hAnsi="仿宋" w:eastAsia="仿宋" w:cs="仿宋"/>
          <w:b/>
          <w:color w:val="000000"/>
          <w:sz w:val="28"/>
          <w:szCs w:val="28"/>
        </w:rPr>
      </w:pPr>
    </w:p>
    <w:p>
      <w:pPr>
        <w:spacing w:line="500" w:lineRule="exact"/>
        <w:ind w:right="560"/>
        <w:rPr>
          <w:rFonts w:hint="eastAsia" w:ascii="仿宋" w:hAnsi="仿宋" w:eastAsia="仿宋" w:cs="仿宋"/>
          <w:b/>
          <w:color w:val="000000"/>
          <w:sz w:val="28"/>
          <w:szCs w:val="28"/>
        </w:rPr>
      </w:pPr>
    </w:p>
    <w:p>
      <w:pPr>
        <w:spacing w:line="500" w:lineRule="exact"/>
        <w:ind w:right="560"/>
        <w:rPr>
          <w:rFonts w:hint="eastAsia" w:ascii="仿宋" w:hAnsi="仿宋" w:eastAsia="仿宋" w:cs="仿宋"/>
          <w:b/>
          <w:color w:val="000000"/>
          <w:sz w:val="28"/>
          <w:szCs w:val="28"/>
        </w:rPr>
      </w:pPr>
    </w:p>
    <w:p>
      <w:pPr>
        <w:spacing w:line="500" w:lineRule="exact"/>
        <w:ind w:right="560"/>
        <w:rPr>
          <w:rFonts w:hint="eastAsia" w:ascii="仿宋" w:hAnsi="仿宋" w:eastAsia="仿宋" w:cs="仿宋"/>
          <w:b/>
          <w:color w:val="000000"/>
          <w:sz w:val="28"/>
          <w:szCs w:val="28"/>
        </w:rPr>
      </w:pPr>
    </w:p>
    <w:p>
      <w:pPr>
        <w:spacing w:line="500" w:lineRule="exact"/>
        <w:ind w:right="560"/>
        <w:rPr>
          <w:rFonts w:hint="eastAsia" w:ascii="仿宋" w:hAnsi="仿宋" w:eastAsia="仿宋" w:cs="仿宋"/>
          <w:b/>
          <w:color w:val="000000"/>
          <w:sz w:val="28"/>
          <w:szCs w:val="28"/>
        </w:rPr>
      </w:pPr>
    </w:p>
    <w:p>
      <w:pPr>
        <w:spacing w:line="500" w:lineRule="exact"/>
        <w:ind w:right="560"/>
        <w:rPr>
          <w:rFonts w:hint="eastAsia" w:ascii="仿宋" w:hAnsi="仿宋" w:eastAsia="仿宋" w:cs="仿宋"/>
          <w:b/>
          <w:color w:val="000000"/>
          <w:sz w:val="28"/>
          <w:szCs w:val="28"/>
        </w:rPr>
      </w:pPr>
    </w:p>
    <w:p>
      <w:pPr>
        <w:spacing w:line="500" w:lineRule="exact"/>
        <w:ind w:right="560"/>
        <w:rPr>
          <w:rFonts w:hint="eastAsia" w:ascii="仿宋" w:hAnsi="仿宋" w:eastAsia="仿宋" w:cs="仿宋"/>
          <w:b/>
          <w:color w:val="000000"/>
          <w:sz w:val="28"/>
          <w:szCs w:val="28"/>
        </w:rPr>
      </w:pPr>
    </w:p>
    <w:p>
      <w:pPr>
        <w:spacing w:line="500" w:lineRule="exact"/>
        <w:ind w:right="560"/>
        <w:rPr>
          <w:rFonts w:hint="eastAsia" w:ascii="仿宋" w:hAnsi="仿宋" w:eastAsia="仿宋" w:cs="仿宋"/>
          <w:b/>
          <w:color w:val="000000"/>
          <w:sz w:val="28"/>
          <w:szCs w:val="28"/>
        </w:rPr>
      </w:pPr>
    </w:p>
    <w:p>
      <w:pPr>
        <w:spacing w:line="500" w:lineRule="exact"/>
        <w:ind w:right="560"/>
        <w:rPr>
          <w:rFonts w:hint="eastAsia" w:ascii="仿宋" w:hAnsi="仿宋" w:eastAsia="仿宋" w:cs="仿宋"/>
          <w:b/>
          <w:color w:val="000000"/>
          <w:sz w:val="28"/>
          <w:szCs w:val="28"/>
        </w:rPr>
      </w:pPr>
    </w:p>
    <w:p>
      <w:pPr>
        <w:spacing w:line="500" w:lineRule="exact"/>
        <w:ind w:right="560"/>
        <w:rPr>
          <w:rFonts w:hint="eastAsia" w:ascii="仿宋" w:hAnsi="仿宋" w:eastAsia="仿宋" w:cs="仿宋"/>
          <w:b/>
          <w:color w:val="000000"/>
          <w:sz w:val="28"/>
          <w:szCs w:val="28"/>
        </w:rPr>
      </w:pPr>
    </w:p>
    <w:p>
      <w:pPr>
        <w:spacing w:line="500" w:lineRule="exact"/>
        <w:ind w:right="560"/>
        <w:rPr>
          <w:rFonts w:hint="eastAsia" w:ascii="仿宋" w:hAnsi="仿宋" w:eastAsia="仿宋" w:cs="仿宋"/>
          <w:b/>
          <w:color w:val="000000"/>
          <w:sz w:val="28"/>
          <w:szCs w:val="28"/>
        </w:rPr>
      </w:pPr>
    </w:p>
    <w:p>
      <w:pPr>
        <w:spacing w:line="500" w:lineRule="exact"/>
        <w:ind w:right="560"/>
        <w:rPr>
          <w:rFonts w:hint="eastAsia" w:ascii="仿宋" w:hAnsi="仿宋" w:eastAsia="仿宋" w:cs="仿宋"/>
          <w:b/>
          <w:color w:val="000000"/>
          <w:sz w:val="28"/>
          <w:szCs w:val="28"/>
        </w:rPr>
      </w:pPr>
    </w:p>
    <w:p>
      <w:pPr>
        <w:spacing w:line="500" w:lineRule="exact"/>
        <w:ind w:right="560"/>
        <w:rPr>
          <w:rFonts w:hint="eastAsia" w:ascii="仿宋" w:hAnsi="仿宋" w:eastAsia="仿宋" w:cs="仿宋"/>
          <w:b/>
          <w:color w:val="000000"/>
          <w:sz w:val="28"/>
          <w:szCs w:val="28"/>
        </w:rPr>
      </w:pPr>
    </w:p>
    <w:p>
      <w:pPr>
        <w:spacing w:line="500" w:lineRule="exact"/>
        <w:ind w:right="560"/>
        <w:rPr>
          <w:rFonts w:hint="eastAsia" w:ascii="仿宋" w:hAnsi="仿宋" w:eastAsia="仿宋" w:cs="仿宋"/>
          <w:b/>
          <w:color w:val="000000"/>
          <w:sz w:val="28"/>
          <w:szCs w:val="28"/>
        </w:rPr>
      </w:pPr>
    </w:p>
    <w:p>
      <w:pPr>
        <w:spacing w:line="500" w:lineRule="exact"/>
        <w:ind w:right="560"/>
        <w:rPr>
          <w:rFonts w:hint="eastAsia" w:ascii="仿宋" w:hAnsi="仿宋" w:eastAsia="仿宋" w:cs="仿宋"/>
          <w:b/>
          <w:color w:val="000000"/>
          <w:sz w:val="28"/>
          <w:szCs w:val="28"/>
        </w:rPr>
      </w:pPr>
    </w:p>
    <w:p>
      <w:pPr>
        <w:spacing w:line="500" w:lineRule="exact"/>
        <w:ind w:right="560"/>
        <w:rPr>
          <w:rFonts w:hint="eastAsia" w:ascii="仿宋" w:hAnsi="仿宋" w:eastAsia="仿宋" w:cs="仿宋"/>
          <w:b/>
          <w:color w:val="000000"/>
          <w:sz w:val="28"/>
          <w:szCs w:val="28"/>
        </w:rPr>
      </w:pPr>
    </w:p>
    <w:p>
      <w:pPr>
        <w:spacing w:line="500" w:lineRule="exact"/>
        <w:ind w:right="560"/>
        <w:rPr>
          <w:rFonts w:hint="eastAsia" w:ascii="仿宋" w:hAnsi="仿宋" w:eastAsia="仿宋" w:cs="仿宋"/>
          <w:b/>
          <w:color w:val="000000"/>
          <w:sz w:val="28"/>
          <w:szCs w:val="28"/>
        </w:rPr>
      </w:pPr>
    </w:p>
    <w:p>
      <w:pPr>
        <w:spacing w:line="500" w:lineRule="exact"/>
        <w:ind w:right="560"/>
        <w:rPr>
          <w:rFonts w:hint="eastAsia" w:ascii="仿宋" w:hAnsi="仿宋" w:eastAsia="仿宋" w:cs="仿宋"/>
          <w:b/>
          <w:color w:val="000000"/>
          <w:sz w:val="28"/>
          <w:szCs w:val="28"/>
        </w:rPr>
      </w:pPr>
    </w:p>
    <w:p>
      <w:pPr>
        <w:spacing w:line="500" w:lineRule="exact"/>
        <w:ind w:right="560"/>
        <w:rPr>
          <w:rFonts w:hint="eastAsia" w:ascii="仿宋" w:hAnsi="仿宋" w:eastAsia="仿宋" w:cs="仿宋"/>
          <w:color w:val="000000"/>
        </w:rPr>
      </w:pPr>
    </w:p>
    <w:p>
      <w:pPr>
        <w:spacing w:line="500" w:lineRule="exact"/>
        <w:ind w:right="561"/>
        <w:outlineLvl w:val="0"/>
        <w:rPr>
          <w:rFonts w:hint="eastAsia" w:ascii="仿宋" w:hAnsi="仿宋" w:eastAsia="仿宋" w:cs="仿宋"/>
          <w:b/>
          <w:color w:val="000000"/>
          <w:sz w:val="28"/>
          <w:szCs w:val="28"/>
        </w:rPr>
      </w:pPr>
      <w:bookmarkStart w:id="23" w:name="_Toc28505"/>
      <w:r>
        <w:rPr>
          <w:rStyle w:val="20"/>
          <w:rFonts w:hint="eastAsia"/>
        </w:rPr>
        <w:t>附件六</w:t>
      </w:r>
      <w:bookmarkEnd w:id="23"/>
    </w:p>
    <w:p>
      <w:pPr>
        <w:spacing w:line="52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投标人近三年业绩表</w:t>
      </w:r>
    </w:p>
    <w:p>
      <w:pPr>
        <w:adjustRightInd w:val="0"/>
        <w:snapToGrid w:val="0"/>
        <w:spacing w:line="440" w:lineRule="exact"/>
        <w:ind w:firstLine="240" w:firstLineChars="100"/>
        <w:rPr>
          <w:rFonts w:hint="eastAsia" w:ascii="仿宋" w:hAnsi="仿宋" w:eastAsia="仿宋" w:cs="仿宋"/>
          <w:color w:val="000000"/>
          <w:sz w:val="24"/>
        </w:rPr>
      </w:pPr>
      <w:r>
        <w:rPr>
          <w:rFonts w:hint="eastAsia" w:ascii="仿宋" w:hAnsi="仿宋" w:eastAsia="仿宋" w:cs="仿宋"/>
          <w:color w:val="000000"/>
          <w:sz w:val="24"/>
        </w:rPr>
        <w:t>请列举近三年的主要业绩和相关证明材料，证明材料包括但不限于：中标通知书、合同文件、所获得的荣誉证明、客户评价等。</w:t>
      </w:r>
    </w:p>
    <w:tbl>
      <w:tblPr>
        <w:tblStyle w:val="15"/>
        <w:tblW w:w="10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502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4"/>
              </w:rPr>
            </w:pPr>
            <w:r>
              <w:rPr>
                <w:rFonts w:hint="eastAsia" w:ascii="仿宋" w:hAnsi="仿宋" w:eastAsia="仿宋"/>
                <w:sz w:val="24"/>
              </w:rPr>
              <w:t>合作客户：</w:t>
            </w:r>
          </w:p>
        </w:tc>
        <w:tc>
          <w:tcPr>
            <w:tcW w:w="502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4"/>
              </w:rPr>
            </w:pPr>
            <w:r>
              <w:rPr>
                <w:rFonts w:hint="eastAsia" w:ascii="仿宋" w:hAnsi="仿宋" w:eastAsia="仿宋"/>
                <w:sz w:val="24"/>
              </w:rPr>
              <w:t>销售量：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502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i/>
                <w:sz w:val="24"/>
              </w:rPr>
            </w:pPr>
            <w:r>
              <w:rPr>
                <w:rFonts w:hint="eastAsia" w:ascii="仿宋" w:hAnsi="仿宋" w:eastAsia="仿宋"/>
                <w:i/>
                <w:sz w:val="24"/>
              </w:rPr>
              <w:t>（前五大客户名称）</w:t>
            </w:r>
          </w:p>
        </w:tc>
        <w:tc>
          <w:tcPr>
            <w:tcW w:w="502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502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4"/>
              </w:rPr>
            </w:pPr>
          </w:p>
        </w:tc>
        <w:tc>
          <w:tcPr>
            <w:tcW w:w="502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502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4"/>
              </w:rPr>
            </w:pPr>
          </w:p>
        </w:tc>
        <w:tc>
          <w:tcPr>
            <w:tcW w:w="502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502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4"/>
              </w:rPr>
            </w:pPr>
          </w:p>
        </w:tc>
        <w:tc>
          <w:tcPr>
            <w:tcW w:w="502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502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4"/>
              </w:rPr>
            </w:pPr>
          </w:p>
        </w:tc>
        <w:tc>
          <w:tcPr>
            <w:tcW w:w="502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502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4"/>
              </w:rPr>
            </w:pPr>
          </w:p>
        </w:tc>
        <w:tc>
          <w:tcPr>
            <w:tcW w:w="502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502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4"/>
              </w:rPr>
            </w:pPr>
          </w:p>
        </w:tc>
        <w:tc>
          <w:tcPr>
            <w:tcW w:w="502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4"/>
              </w:rPr>
            </w:pPr>
          </w:p>
        </w:tc>
      </w:tr>
    </w:tbl>
    <w:p>
      <w:pPr>
        <w:adjustRightInd w:val="0"/>
        <w:snapToGrid w:val="0"/>
        <w:spacing w:line="440" w:lineRule="exact"/>
        <w:ind w:firstLine="210" w:firstLineChars="100"/>
        <w:rPr>
          <w:rFonts w:hint="eastAsia" w:ascii="仿宋" w:hAnsi="仿宋" w:eastAsia="仿宋" w:cs="仿宋"/>
          <w:color w:val="000000"/>
          <w:szCs w:val="21"/>
        </w:rPr>
      </w:pPr>
    </w:p>
    <w:sectPr>
      <w:pgSz w:w="11906" w:h="16838"/>
      <w:pgMar w:top="1440"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1" w:usb1="080E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3</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lang/>
                            </w:rPr>
                            <w:t>19</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3</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lang/>
                      </w:rPr>
                      <w:t>19</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6"/>
      </w:pBdr>
      <w:jc w:val="left"/>
    </w:pPr>
    <w:r>
      <w:drawing>
        <wp:inline distT="0" distB="0" distL="114300" distR="114300">
          <wp:extent cx="575945" cy="184150"/>
          <wp:effectExtent l="0" t="0" r="14605" b="6350"/>
          <wp:docPr id="3" name="图片 3" descr="南铝标志横式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南铝标志横式组合"/>
                  <pic:cNvPicPr>
                    <a:picLocks noChangeAspect="1"/>
                  </pic:cNvPicPr>
                </pic:nvPicPr>
                <pic:blipFill>
                  <a:blip r:embed="rId1"/>
                  <a:stretch>
                    <a:fillRect/>
                  </a:stretch>
                </pic:blipFill>
                <pic:spPr>
                  <a:xfrm>
                    <a:off x="0" y="0"/>
                    <a:ext cx="575945" cy="184150"/>
                  </a:xfrm>
                  <a:prstGeom prst="rect">
                    <a:avLst/>
                  </a:prstGeom>
                  <a:noFill/>
                  <a:ln>
                    <a:noFill/>
                  </a:ln>
                </pic:spPr>
              </pic:pic>
            </a:graphicData>
          </a:graphic>
        </wp:inline>
      </w:drawing>
    </w:r>
    <w:r>
      <w:rPr>
        <w:rFonts w:hint="eastAsia"/>
      </w:rPr>
      <w:t xml:space="preserve"> 南南铝业股份有限公司  Alnan Aluminium Co.,ltd. 地址 ：广西南宁市邕宁区良信路6号  邮编:530</w:t>
    </w:r>
    <w:r>
      <w:rPr>
        <w:lang/>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297815</wp:posOffset>
              </wp:positionV>
              <wp:extent cx="5232400" cy="0"/>
              <wp:effectExtent l="0" t="0" r="0" b="0"/>
              <wp:wrapNone/>
              <wp:docPr id="1" name="直接连接符 2"/>
              <wp:cNvGraphicFramePr/>
              <a:graphic xmlns:a="http://schemas.openxmlformats.org/drawingml/2006/main">
                <a:graphicData uri="http://schemas.microsoft.com/office/word/2010/wordprocessingShape">
                  <wps:wsp>
                    <wps:cNvSpPr/>
                    <wps:spPr>
                      <a:xfrm>
                        <a:off x="0" y="0"/>
                        <a:ext cx="5232400" cy="0"/>
                      </a:xfrm>
                      <a:prstGeom prst="line">
                        <a:avLst/>
                      </a:prstGeom>
                      <a:ln w="9525" cap="flat" cmpd="sng">
                        <a:solidFill>
                          <a:srgbClr val="404040"/>
                        </a:solidFill>
                        <a:prstDash val="dash"/>
                        <a:headEnd type="none" w="med" len="med"/>
                        <a:tailEnd type="none" w="med" len="med"/>
                      </a:ln>
                    </wps:spPr>
                    <wps:bodyPr upright="1"/>
                  </wps:wsp>
                </a:graphicData>
              </a:graphic>
            </wp:anchor>
          </w:drawing>
        </mc:Choice>
        <mc:Fallback>
          <w:pict>
            <v:line id="直接连接符 2" o:spid="_x0000_s1026" o:spt="20" style="position:absolute;left:0pt;margin-left:1.8pt;margin-top:23.45pt;height:0pt;width:412pt;z-index:251659264;mso-width-relative:page;mso-height-relative:page;" filled="f" stroked="t" coordsize="21600,21600" o:gfxdata="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29rj1AAAAAcBAAAPAAAAAAAAAAEAIAAAACIAAABkcnMvZG93bnJldi54bWxQSwECFAAU&#10;AAAACACHTuJAOeYbovUBAADjAwAADgAAAAAAAAABACAAAAAjAQAAZHJzL2Uyb0RvYy54bWxQSwUG&#10;AAAAAAYABgBZAQAAigUAAAAA&#10;">
              <v:fill on="f" focussize="0,0"/>
              <v:stroke color="#404040" joinstyle="round" dashstyle="dash"/>
              <v:imagedata o:title=""/>
              <o:lock v:ext="edit" aspectratio="f"/>
            </v:line>
          </w:pict>
        </mc:Fallback>
      </mc:AlternateContent>
    </w:r>
    <w:r>
      <w:rPr>
        <w:rFonts w:hint="eastAsia"/>
      </w:rPr>
      <w:t>299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F8D85"/>
    <w:multiLevelType w:val="singleLevel"/>
    <w:tmpl w:val="A6AF8D85"/>
    <w:lvl w:ilvl="0" w:tentative="0">
      <w:start w:val="1"/>
      <w:numFmt w:val="decimal"/>
      <w:lvlText w:val="%1."/>
      <w:lvlJc w:val="left"/>
      <w:pPr>
        <w:tabs>
          <w:tab w:val="left" w:pos="312"/>
        </w:tabs>
      </w:pPr>
    </w:lvl>
  </w:abstractNum>
  <w:abstractNum w:abstractNumId="1">
    <w:nsid w:val="C328C511"/>
    <w:multiLevelType w:val="singleLevel"/>
    <w:tmpl w:val="C328C511"/>
    <w:lvl w:ilvl="0" w:tentative="0">
      <w:start w:val="1"/>
      <w:numFmt w:val="decimal"/>
      <w:lvlText w:val="%1、"/>
      <w:lvlJc w:val="left"/>
    </w:lvl>
  </w:abstractNum>
  <w:abstractNum w:abstractNumId="2">
    <w:nsid w:val="F6E616C5"/>
    <w:multiLevelType w:val="singleLevel"/>
    <w:tmpl w:val="F6E616C5"/>
    <w:lvl w:ilvl="0" w:tentative="0">
      <w:start w:val="1"/>
      <w:numFmt w:val="decimal"/>
      <w:suff w:val="nothing"/>
      <w:lvlText w:val="%1、"/>
      <w:lvlJc w:val="left"/>
    </w:lvl>
  </w:abstractNum>
  <w:abstractNum w:abstractNumId="3">
    <w:nsid w:val="F923005D"/>
    <w:multiLevelType w:val="singleLevel"/>
    <w:tmpl w:val="F923005D"/>
    <w:lvl w:ilvl="0" w:tentative="0">
      <w:start w:val="1"/>
      <w:numFmt w:val="decimal"/>
      <w:suff w:val="nothing"/>
      <w:lvlText w:val="%1、"/>
      <w:lvlJc w:val="left"/>
    </w:lvl>
  </w:abstractNum>
  <w:abstractNum w:abstractNumId="4">
    <w:nsid w:val="364237D2"/>
    <w:multiLevelType w:val="singleLevel"/>
    <w:tmpl w:val="364237D2"/>
    <w:lvl w:ilvl="0" w:tentative="0">
      <w:start w:val="1"/>
      <w:numFmt w:val="decimal"/>
      <w:suff w:val="nothing"/>
      <w:lvlText w:val="%1、"/>
      <w:lvlJc w:val="left"/>
    </w:lvl>
  </w:abstractNum>
  <w:abstractNum w:abstractNumId="5">
    <w:nsid w:val="5A5EA4D4"/>
    <w:multiLevelType w:val="singleLevel"/>
    <w:tmpl w:val="5A5EA4D4"/>
    <w:lvl w:ilvl="0" w:tentative="0">
      <w:start w:val="1"/>
      <w:numFmt w:val="chineseCounting"/>
      <w:suff w:val="nothing"/>
      <w:lvlText w:val="（%1）"/>
      <w:lvlJc w:val="left"/>
    </w:lvl>
  </w:abstractNum>
  <w:abstractNum w:abstractNumId="6">
    <w:nsid w:val="5A5EA4E9"/>
    <w:multiLevelType w:val="singleLevel"/>
    <w:tmpl w:val="5A5EA4E9"/>
    <w:lvl w:ilvl="0" w:tentative="0">
      <w:start w:val="1"/>
      <w:numFmt w:val="decimal"/>
      <w:suff w:val="nothing"/>
      <w:lvlText w:val="%1、"/>
      <w:lvlJc w:val="left"/>
    </w:lvl>
  </w:abstractNum>
  <w:abstractNum w:abstractNumId="7">
    <w:nsid w:val="5A5EA520"/>
    <w:multiLevelType w:val="singleLevel"/>
    <w:tmpl w:val="5A5EA520"/>
    <w:lvl w:ilvl="0" w:tentative="0">
      <w:start w:val="2"/>
      <w:numFmt w:val="chineseCounting"/>
      <w:suff w:val="nothing"/>
      <w:lvlText w:val="（%1）"/>
      <w:lvlJc w:val="left"/>
    </w:lvl>
  </w:abstractNum>
  <w:num w:numId="1">
    <w:abstractNumId w:val="5"/>
  </w:num>
  <w:num w:numId="2">
    <w:abstractNumId w:val="6"/>
  </w:num>
  <w:num w:numId="3">
    <w:abstractNumId w:val="7"/>
  </w:num>
  <w:num w:numId="4">
    <w:abstractNumId w:val="4"/>
  </w:num>
  <w:num w:numId="5">
    <w:abstractNumId w:val="1"/>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4NzJjMGRhMzFmNmRiYmY4YjM0NjY1M2YxZDM2YWEifQ=="/>
  </w:docVars>
  <w:rsids>
    <w:rsidRoot w:val="00172A27"/>
    <w:rsid w:val="00002736"/>
    <w:rsid w:val="0000560D"/>
    <w:rsid w:val="0001714E"/>
    <w:rsid w:val="0002493A"/>
    <w:rsid w:val="00034B08"/>
    <w:rsid w:val="00037601"/>
    <w:rsid w:val="00050599"/>
    <w:rsid w:val="00071F42"/>
    <w:rsid w:val="00072A35"/>
    <w:rsid w:val="000753E6"/>
    <w:rsid w:val="00080E2E"/>
    <w:rsid w:val="000816FC"/>
    <w:rsid w:val="0008209E"/>
    <w:rsid w:val="00090BD1"/>
    <w:rsid w:val="0009411F"/>
    <w:rsid w:val="000A7B81"/>
    <w:rsid w:val="000B545A"/>
    <w:rsid w:val="000B6B44"/>
    <w:rsid w:val="000B797E"/>
    <w:rsid w:val="000C26F8"/>
    <w:rsid w:val="000D16AB"/>
    <w:rsid w:val="000E0624"/>
    <w:rsid w:val="000E4272"/>
    <w:rsid w:val="000E6CBF"/>
    <w:rsid w:val="000F2239"/>
    <w:rsid w:val="000F450C"/>
    <w:rsid w:val="00110D0E"/>
    <w:rsid w:val="00123BF5"/>
    <w:rsid w:val="00125121"/>
    <w:rsid w:val="0013347F"/>
    <w:rsid w:val="001466F6"/>
    <w:rsid w:val="00150829"/>
    <w:rsid w:val="001508E0"/>
    <w:rsid w:val="00150BB5"/>
    <w:rsid w:val="001807E7"/>
    <w:rsid w:val="00190E88"/>
    <w:rsid w:val="00191EA7"/>
    <w:rsid w:val="00192DED"/>
    <w:rsid w:val="001E7147"/>
    <w:rsid w:val="001E7D8D"/>
    <w:rsid w:val="001F3F30"/>
    <w:rsid w:val="001F4E43"/>
    <w:rsid w:val="001F62FF"/>
    <w:rsid w:val="00207393"/>
    <w:rsid w:val="002179E6"/>
    <w:rsid w:val="00220DD8"/>
    <w:rsid w:val="002310B8"/>
    <w:rsid w:val="002312A1"/>
    <w:rsid w:val="00232884"/>
    <w:rsid w:val="00234F20"/>
    <w:rsid w:val="002400AC"/>
    <w:rsid w:val="002428CD"/>
    <w:rsid w:val="00250114"/>
    <w:rsid w:val="00272EBD"/>
    <w:rsid w:val="0027385B"/>
    <w:rsid w:val="00274FA5"/>
    <w:rsid w:val="0027676D"/>
    <w:rsid w:val="002830A4"/>
    <w:rsid w:val="00290E74"/>
    <w:rsid w:val="00297E00"/>
    <w:rsid w:val="00297E1D"/>
    <w:rsid w:val="002B4328"/>
    <w:rsid w:val="002B4AAE"/>
    <w:rsid w:val="002B64C8"/>
    <w:rsid w:val="002B6EFF"/>
    <w:rsid w:val="002C3C7A"/>
    <w:rsid w:val="002C3FCF"/>
    <w:rsid w:val="002C6B70"/>
    <w:rsid w:val="002E23C7"/>
    <w:rsid w:val="002E7879"/>
    <w:rsid w:val="002F5789"/>
    <w:rsid w:val="00305346"/>
    <w:rsid w:val="00305894"/>
    <w:rsid w:val="00313EA0"/>
    <w:rsid w:val="00322A61"/>
    <w:rsid w:val="00345856"/>
    <w:rsid w:val="00361C36"/>
    <w:rsid w:val="00374423"/>
    <w:rsid w:val="003746C8"/>
    <w:rsid w:val="00380D12"/>
    <w:rsid w:val="00391CF6"/>
    <w:rsid w:val="00397580"/>
    <w:rsid w:val="003977E0"/>
    <w:rsid w:val="003A4218"/>
    <w:rsid w:val="003C414A"/>
    <w:rsid w:val="003D6062"/>
    <w:rsid w:val="003D63F4"/>
    <w:rsid w:val="003E3C6F"/>
    <w:rsid w:val="003E46E0"/>
    <w:rsid w:val="003E6F62"/>
    <w:rsid w:val="003F43AA"/>
    <w:rsid w:val="0040048C"/>
    <w:rsid w:val="00410158"/>
    <w:rsid w:val="004112C2"/>
    <w:rsid w:val="0041769C"/>
    <w:rsid w:val="00420E0B"/>
    <w:rsid w:val="00431C2E"/>
    <w:rsid w:val="00446B4E"/>
    <w:rsid w:val="00454437"/>
    <w:rsid w:val="00456B7B"/>
    <w:rsid w:val="004626EF"/>
    <w:rsid w:val="00491DA9"/>
    <w:rsid w:val="004929FB"/>
    <w:rsid w:val="00495521"/>
    <w:rsid w:val="004A33F6"/>
    <w:rsid w:val="004A5E08"/>
    <w:rsid w:val="004B2078"/>
    <w:rsid w:val="004C3460"/>
    <w:rsid w:val="004C5D54"/>
    <w:rsid w:val="004D31C0"/>
    <w:rsid w:val="004E0497"/>
    <w:rsid w:val="004E0D88"/>
    <w:rsid w:val="004E1FAE"/>
    <w:rsid w:val="004E39FC"/>
    <w:rsid w:val="004E62E8"/>
    <w:rsid w:val="004F35C6"/>
    <w:rsid w:val="00530A4D"/>
    <w:rsid w:val="00532A34"/>
    <w:rsid w:val="00533B45"/>
    <w:rsid w:val="00544ACF"/>
    <w:rsid w:val="00545457"/>
    <w:rsid w:val="00545C69"/>
    <w:rsid w:val="0055177D"/>
    <w:rsid w:val="0055190A"/>
    <w:rsid w:val="00553996"/>
    <w:rsid w:val="00554DD3"/>
    <w:rsid w:val="0056304A"/>
    <w:rsid w:val="00563962"/>
    <w:rsid w:val="00565A62"/>
    <w:rsid w:val="005751A4"/>
    <w:rsid w:val="005767E7"/>
    <w:rsid w:val="00584A98"/>
    <w:rsid w:val="005B56B8"/>
    <w:rsid w:val="005B71E0"/>
    <w:rsid w:val="005C2AF9"/>
    <w:rsid w:val="005D1030"/>
    <w:rsid w:val="005D3E0C"/>
    <w:rsid w:val="005E57B3"/>
    <w:rsid w:val="00603CCB"/>
    <w:rsid w:val="006141B0"/>
    <w:rsid w:val="006146DD"/>
    <w:rsid w:val="0062568D"/>
    <w:rsid w:val="006435F4"/>
    <w:rsid w:val="006459A3"/>
    <w:rsid w:val="00646E41"/>
    <w:rsid w:val="006617DF"/>
    <w:rsid w:val="006640AA"/>
    <w:rsid w:val="0066742C"/>
    <w:rsid w:val="0067122D"/>
    <w:rsid w:val="00671A5E"/>
    <w:rsid w:val="00673216"/>
    <w:rsid w:val="0067681B"/>
    <w:rsid w:val="00681B5E"/>
    <w:rsid w:val="006828D7"/>
    <w:rsid w:val="00683B1A"/>
    <w:rsid w:val="00686749"/>
    <w:rsid w:val="006A3ECB"/>
    <w:rsid w:val="006A74AD"/>
    <w:rsid w:val="006A7626"/>
    <w:rsid w:val="006B0DC6"/>
    <w:rsid w:val="006B49DE"/>
    <w:rsid w:val="006C31D5"/>
    <w:rsid w:val="006C4895"/>
    <w:rsid w:val="006E0855"/>
    <w:rsid w:val="006E1A7A"/>
    <w:rsid w:val="006F08AA"/>
    <w:rsid w:val="006F0DF6"/>
    <w:rsid w:val="00707DC2"/>
    <w:rsid w:val="00713B2F"/>
    <w:rsid w:val="00725B5A"/>
    <w:rsid w:val="0072697E"/>
    <w:rsid w:val="00730CB2"/>
    <w:rsid w:val="00744D3B"/>
    <w:rsid w:val="00746F04"/>
    <w:rsid w:val="00765464"/>
    <w:rsid w:val="00771A9C"/>
    <w:rsid w:val="00771B34"/>
    <w:rsid w:val="00786E09"/>
    <w:rsid w:val="0079074B"/>
    <w:rsid w:val="00791BAB"/>
    <w:rsid w:val="00794CD9"/>
    <w:rsid w:val="007C1D7E"/>
    <w:rsid w:val="007C2CEC"/>
    <w:rsid w:val="007C3378"/>
    <w:rsid w:val="007C3D9F"/>
    <w:rsid w:val="007D4715"/>
    <w:rsid w:val="007D6842"/>
    <w:rsid w:val="007E5DE9"/>
    <w:rsid w:val="007E7EE6"/>
    <w:rsid w:val="008145ED"/>
    <w:rsid w:val="00826510"/>
    <w:rsid w:val="00843579"/>
    <w:rsid w:val="008571C1"/>
    <w:rsid w:val="0086114E"/>
    <w:rsid w:val="00865036"/>
    <w:rsid w:val="00871047"/>
    <w:rsid w:val="00880B34"/>
    <w:rsid w:val="00890051"/>
    <w:rsid w:val="008A50F1"/>
    <w:rsid w:val="008C2EB5"/>
    <w:rsid w:val="008D0B3C"/>
    <w:rsid w:val="008E7283"/>
    <w:rsid w:val="008E7EF3"/>
    <w:rsid w:val="00900525"/>
    <w:rsid w:val="00904A99"/>
    <w:rsid w:val="00912B93"/>
    <w:rsid w:val="00914B75"/>
    <w:rsid w:val="00915E05"/>
    <w:rsid w:val="009202E7"/>
    <w:rsid w:val="00921EA1"/>
    <w:rsid w:val="0092375D"/>
    <w:rsid w:val="00924CCC"/>
    <w:rsid w:val="0092569A"/>
    <w:rsid w:val="009307B0"/>
    <w:rsid w:val="0093137B"/>
    <w:rsid w:val="00931D44"/>
    <w:rsid w:val="0093214A"/>
    <w:rsid w:val="00934DED"/>
    <w:rsid w:val="009423C9"/>
    <w:rsid w:val="00944136"/>
    <w:rsid w:val="00952320"/>
    <w:rsid w:val="009708D0"/>
    <w:rsid w:val="0097282B"/>
    <w:rsid w:val="0098783D"/>
    <w:rsid w:val="009924D9"/>
    <w:rsid w:val="00992A05"/>
    <w:rsid w:val="0099660C"/>
    <w:rsid w:val="009A02A8"/>
    <w:rsid w:val="009A249F"/>
    <w:rsid w:val="009A7B57"/>
    <w:rsid w:val="009B79F2"/>
    <w:rsid w:val="009C4CEE"/>
    <w:rsid w:val="009E36F8"/>
    <w:rsid w:val="009E7D45"/>
    <w:rsid w:val="009F4158"/>
    <w:rsid w:val="009F490E"/>
    <w:rsid w:val="00A05504"/>
    <w:rsid w:val="00A06DC4"/>
    <w:rsid w:val="00A07812"/>
    <w:rsid w:val="00A209A8"/>
    <w:rsid w:val="00A20E1A"/>
    <w:rsid w:val="00A22E34"/>
    <w:rsid w:val="00A35F10"/>
    <w:rsid w:val="00A37DED"/>
    <w:rsid w:val="00A44590"/>
    <w:rsid w:val="00A5035D"/>
    <w:rsid w:val="00A55882"/>
    <w:rsid w:val="00A55C8C"/>
    <w:rsid w:val="00A57407"/>
    <w:rsid w:val="00A74E75"/>
    <w:rsid w:val="00A802A1"/>
    <w:rsid w:val="00AA36A7"/>
    <w:rsid w:val="00AA4F04"/>
    <w:rsid w:val="00AB64F7"/>
    <w:rsid w:val="00AB6B38"/>
    <w:rsid w:val="00AC50A5"/>
    <w:rsid w:val="00AC779A"/>
    <w:rsid w:val="00AD6BF8"/>
    <w:rsid w:val="00AE4A1C"/>
    <w:rsid w:val="00AF6FC7"/>
    <w:rsid w:val="00B0618E"/>
    <w:rsid w:val="00B14DC3"/>
    <w:rsid w:val="00B15129"/>
    <w:rsid w:val="00B50330"/>
    <w:rsid w:val="00B536F7"/>
    <w:rsid w:val="00B747AB"/>
    <w:rsid w:val="00B832B4"/>
    <w:rsid w:val="00B855B6"/>
    <w:rsid w:val="00B9328A"/>
    <w:rsid w:val="00BA2AD2"/>
    <w:rsid w:val="00BA57D6"/>
    <w:rsid w:val="00BA583B"/>
    <w:rsid w:val="00BB2745"/>
    <w:rsid w:val="00BC3BE9"/>
    <w:rsid w:val="00BC565E"/>
    <w:rsid w:val="00BE0677"/>
    <w:rsid w:val="00BE5B83"/>
    <w:rsid w:val="00BF31CE"/>
    <w:rsid w:val="00C03734"/>
    <w:rsid w:val="00C03BB5"/>
    <w:rsid w:val="00C176EB"/>
    <w:rsid w:val="00C302E9"/>
    <w:rsid w:val="00C3267E"/>
    <w:rsid w:val="00C557B4"/>
    <w:rsid w:val="00C637A6"/>
    <w:rsid w:val="00C661CD"/>
    <w:rsid w:val="00C669B7"/>
    <w:rsid w:val="00C73A9B"/>
    <w:rsid w:val="00C73DB3"/>
    <w:rsid w:val="00C75BFE"/>
    <w:rsid w:val="00C85BA8"/>
    <w:rsid w:val="00C87BEE"/>
    <w:rsid w:val="00CA0609"/>
    <w:rsid w:val="00CA4D5D"/>
    <w:rsid w:val="00CB7158"/>
    <w:rsid w:val="00CC06AA"/>
    <w:rsid w:val="00CC5146"/>
    <w:rsid w:val="00CD2F3B"/>
    <w:rsid w:val="00CE1EF2"/>
    <w:rsid w:val="00CE4E97"/>
    <w:rsid w:val="00CF37B9"/>
    <w:rsid w:val="00D0103D"/>
    <w:rsid w:val="00D123DD"/>
    <w:rsid w:val="00D23E9B"/>
    <w:rsid w:val="00D328F4"/>
    <w:rsid w:val="00D36042"/>
    <w:rsid w:val="00D371EA"/>
    <w:rsid w:val="00D40DA3"/>
    <w:rsid w:val="00D441C2"/>
    <w:rsid w:val="00D57DBE"/>
    <w:rsid w:val="00D60D64"/>
    <w:rsid w:val="00D61530"/>
    <w:rsid w:val="00D81A7D"/>
    <w:rsid w:val="00D81C5D"/>
    <w:rsid w:val="00D85046"/>
    <w:rsid w:val="00D85DFB"/>
    <w:rsid w:val="00D90157"/>
    <w:rsid w:val="00DA15A7"/>
    <w:rsid w:val="00DA6175"/>
    <w:rsid w:val="00DB1E54"/>
    <w:rsid w:val="00DB4A21"/>
    <w:rsid w:val="00DB50E4"/>
    <w:rsid w:val="00DC3711"/>
    <w:rsid w:val="00DE1A28"/>
    <w:rsid w:val="00DE22D5"/>
    <w:rsid w:val="00DF2C38"/>
    <w:rsid w:val="00DF4BF7"/>
    <w:rsid w:val="00DF6A28"/>
    <w:rsid w:val="00E14BBB"/>
    <w:rsid w:val="00E17D36"/>
    <w:rsid w:val="00E25783"/>
    <w:rsid w:val="00E329F5"/>
    <w:rsid w:val="00E35463"/>
    <w:rsid w:val="00E35E8D"/>
    <w:rsid w:val="00E53642"/>
    <w:rsid w:val="00E54F1E"/>
    <w:rsid w:val="00E613F8"/>
    <w:rsid w:val="00E67EC6"/>
    <w:rsid w:val="00E75CD0"/>
    <w:rsid w:val="00E87D0B"/>
    <w:rsid w:val="00EA5808"/>
    <w:rsid w:val="00EB3438"/>
    <w:rsid w:val="00EB3ECF"/>
    <w:rsid w:val="00EC48E8"/>
    <w:rsid w:val="00EE54CD"/>
    <w:rsid w:val="00EF0F62"/>
    <w:rsid w:val="00EF2E31"/>
    <w:rsid w:val="00F02B4E"/>
    <w:rsid w:val="00F0522A"/>
    <w:rsid w:val="00F0693C"/>
    <w:rsid w:val="00F11C1E"/>
    <w:rsid w:val="00F41E2E"/>
    <w:rsid w:val="00F46340"/>
    <w:rsid w:val="00F47BE9"/>
    <w:rsid w:val="00F515F1"/>
    <w:rsid w:val="00F537AA"/>
    <w:rsid w:val="00F53A4F"/>
    <w:rsid w:val="00F55532"/>
    <w:rsid w:val="00F6093C"/>
    <w:rsid w:val="00F67BFA"/>
    <w:rsid w:val="00F73A91"/>
    <w:rsid w:val="00F814AF"/>
    <w:rsid w:val="00F82046"/>
    <w:rsid w:val="00F83045"/>
    <w:rsid w:val="00F8314C"/>
    <w:rsid w:val="00F83BA9"/>
    <w:rsid w:val="00FC16BD"/>
    <w:rsid w:val="00FC2DE9"/>
    <w:rsid w:val="00FC3C1E"/>
    <w:rsid w:val="00FC7BE7"/>
    <w:rsid w:val="00FD1155"/>
    <w:rsid w:val="00FD1170"/>
    <w:rsid w:val="00FF2420"/>
    <w:rsid w:val="00FF2A06"/>
    <w:rsid w:val="00FF4207"/>
    <w:rsid w:val="017B68CF"/>
    <w:rsid w:val="01830853"/>
    <w:rsid w:val="0A4B1DA0"/>
    <w:rsid w:val="0A90209F"/>
    <w:rsid w:val="0CF56095"/>
    <w:rsid w:val="0D766B6A"/>
    <w:rsid w:val="0FF45DAC"/>
    <w:rsid w:val="11910C9F"/>
    <w:rsid w:val="13E12F7C"/>
    <w:rsid w:val="17D51315"/>
    <w:rsid w:val="181D1A43"/>
    <w:rsid w:val="1BA70C10"/>
    <w:rsid w:val="1BDF7D4F"/>
    <w:rsid w:val="1E8E21DD"/>
    <w:rsid w:val="1E906AED"/>
    <w:rsid w:val="1EC53E3B"/>
    <w:rsid w:val="1F0A29D8"/>
    <w:rsid w:val="234B5DD4"/>
    <w:rsid w:val="244F0211"/>
    <w:rsid w:val="25A64B13"/>
    <w:rsid w:val="337D5C7A"/>
    <w:rsid w:val="361F7011"/>
    <w:rsid w:val="37F274E4"/>
    <w:rsid w:val="4470188E"/>
    <w:rsid w:val="45483507"/>
    <w:rsid w:val="513E2196"/>
    <w:rsid w:val="54253B59"/>
    <w:rsid w:val="548473F6"/>
    <w:rsid w:val="5520211A"/>
    <w:rsid w:val="55C16DFE"/>
    <w:rsid w:val="5C541787"/>
    <w:rsid w:val="5FE1502B"/>
    <w:rsid w:val="5FFB6261"/>
    <w:rsid w:val="618146A9"/>
    <w:rsid w:val="63502249"/>
    <w:rsid w:val="65BF0B31"/>
    <w:rsid w:val="6B4E11D9"/>
    <w:rsid w:val="6E8C5719"/>
    <w:rsid w:val="6F325F50"/>
    <w:rsid w:val="70385791"/>
    <w:rsid w:val="768B7B32"/>
    <w:rsid w:val="7B551F75"/>
    <w:rsid w:val="7C395599"/>
    <w:rsid w:val="7D0157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rFonts w:eastAsia="仿宋"/>
      <w:b/>
      <w:bCs/>
      <w:kern w:val="44"/>
      <w:sz w:val="28"/>
      <w:szCs w:val="44"/>
    </w:rPr>
  </w:style>
  <w:style w:type="paragraph" w:styleId="3">
    <w:name w:val="heading 2"/>
    <w:basedOn w:val="1"/>
    <w:next w:val="1"/>
    <w:qFormat/>
    <w:uiPriority w:val="9"/>
    <w:pPr>
      <w:keepNext/>
      <w:keepLines/>
      <w:spacing w:before="260" w:beforeLines="0" w:beforeAutospacing="0" w:after="260" w:afterLines="0" w:afterAutospacing="0" w:line="413" w:lineRule="auto"/>
      <w:jc w:val="center"/>
      <w:outlineLvl w:val="1"/>
    </w:pPr>
    <w:rPr>
      <w:rFonts w:ascii="Arial" w:hAnsi="Arial" w:eastAsia="仿宋"/>
      <w:b/>
      <w:sz w:val="28"/>
    </w:rPr>
  </w:style>
  <w:style w:type="paragraph" w:styleId="4">
    <w:name w:val="heading 3"/>
    <w:basedOn w:val="1"/>
    <w:next w:val="1"/>
    <w:qFormat/>
    <w:uiPriority w:val="9"/>
    <w:pPr>
      <w:keepNext/>
      <w:keepLines/>
      <w:spacing w:before="140" w:beforeLines="0" w:beforeAutospacing="0" w:after="140" w:afterLines="0" w:afterAutospacing="0" w:line="413" w:lineRule="auto"/>
      <w:ind w:leftChars="200"/>
      <w:jc w:val="left"/>
      <w:outlineLvl w:val="2"/>
    </w:pPr>
    <w:rPr>
      <w:rFonts w:ascii="Times New Roman" w:hAnsi="Times New Roman" w:eastAsia="仿宋"/>
      <w:sz w:val="28"/>
    </w:rPr>
  </w:style>
  <w:style w:type="paragraph" w:styleId="5">
    <w:name w:val="heading 5"/>
    <w:basedOn w:val="1"/>
    <w:next w:val="1"/>
    <w:link w:val="21"/>
    <w:qFormat/>
    <w:uiPriority w:val="0"/>
    <w:pPr>
      <w:keepNext/>
      <w:keepLines/>
      <w:spacing w:before="280" w:beforeLines="0" w:after="290" w:afterLines="0" w:line="376" w:lineRule="auto"/>
      <w:outlineLvl w:val="4"/>
    </w:pPr>
    <w:rPr>
      <w:b/>
      <w:bCs/>
      <w:kern w:val="0"/>
      <w:sz w:val="28"/>
      <w:szCs w:val="28"/>
    </w:rPr>
  </w:style>
  <w:style w:type="character" w:default="1" w:styleId="17">
    <w:name w:val="Default Paragraph Font"/>
    <w:unhideWhenUsed/>
    <w:uiPriority w:val="1"/>
  </w:style>
  <w:style w:type="table" w:default="1" w:styleId="15">
    <w:name w:val="Normal Table"/>
    <w:unhideWhenUsed/>
    <w:uiPriority w:val="99"/>
    <w:tblPr>
      <w:tblStyle w:val="15"/>
      <w:tblCellMar>
        <w:top w:w="0" w:type="dxa"/>
        <w:left w:w="108" w:type="dxa"/>
        <w:bottom w:w="0" w:type="dxa"/>
        <w:right w:w="108" w:type="dxa"/>
      </w:tblCellMar>
    </w:tblPr>
  </w:style>
  <w:style w:type="paragraph" w:styleId="6">
    <w:name w:val="Body Text Indent"/>
    <w:basedOn w:val="1"/>
    <w:link w:val="22"/>
    <w:qFormat/>
    <w:uiPriority w:val="0"/>
    <w:pPr>
      <w:ind w:left="480"/>
    </w:pPr>
    <w:rPr>
      <w:sz w:val="24"/>
      <w:szCs w:val="20"/>
    </w:rPr>
  </w:style>
  <w:style w:type="paragraph" w:styleId="7">
    <w:name w:val="Plain Text"/>
    <w:basedOn w:val="1"/>
    <w:uiPriority w:val="0"/>
    <w:rPr>
      <w:rFonts w:ascii="宋体" w:hAnsi="Courier New" w:cs="黑体"/>
      <w:szCs w:val="21"/>
    </w:rPr>
  </w:style>
  <w:style w:type="paragraph" w:styleId="8">
    <w:name w:val="Date"/>
    <w:basedOn w:val="1"/>
    <w:next w:val="1"/>
    <w:link w:val="23"/>
    <w:uiPriority w:val="0"/>
    <w:rPr>
      <w:sz w:val="28"/>
      <w:szCs w:val="20"/>
    </w:rPr>
  </w:style>
  <w:style w:type="paragraph" w:styleId="9">
    <w:name w:val="Body Text Indent 2"/>
    <w:basedOn w:val="1"/>
    <w:qFormat/>
    <w:uiPriority w:val="0"/>
    <w:pPr>
      <w:spacing w:line="300" w:lineRule="auto"/>
      <w:ind w:left="360"/>
    </w:pPr>
    <w:rPr>
      <w:sz w:val="24"/>
    </w:rPr>
  </w:style>
  <w:style w:type="paragraph" w:styleId="10">
    <w:name w:val="Balloon Text"/>
    <w:basedOn w:val="1"/>
    <w:link w:val="24"/>
    <w:unhideWhenUsed/>
    <w:uiPriority w:val="99"/>
    <w:rPr>
      <w:kern w:val="0"/>
      <w:sz w:val="18"/>
      <w:szCs w:val="18"/>
    </w:rPr>
  </w:style>
  <w:style w:type="paragraph" w:styleId="11">
    <w:name w:val="footer"/>
    <w:basedOn w:val="1"/>
    <w:link w:val="25"/>
    <w:unhideWhenUsed/>
    <w:uiPriority w:val="99"/>
    <w:pPr>
      <w:tabs>
        <w:tab w:val="center" w:pos="4153"/>
        <w:tab w:val="right" w:pos="8306"/>
      </w:tabs>
      <w:snapToGrid w:val="0"/>
      <w:jc w:val="left"/>
    </w:pPr>
    <w:rPr>
      <w:kern w:val="0"/>
      <w:sz w:val="18"/>
      <w:szCs w:val="18"/>
    </w:rPr>
  </w:style>
  <w:style w:type="paragraph" w:styleId="12">
    <w:name w:val="header"/>
    <w:basedOn w:val="1"/>
    <w:link w:val="26"/>
    <w:unhideWhenUsed/>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unhideWhenUsed/>
    <w:uiPriority w:val="39"/>
    <w:rPr>
      <w:rFonts w:ascii="Times New Roman" w:hAnsi="Times New Roman"/>
      <w:szCs w:val="24"/>
    </w:rPr>
  </w:style>
  <w:style w:type="paragraph" w:styleId="14">
    <w:name w:val="toc 2"/>
    <w:basedOn w:val="1"/>
    <w:next w:val="1"/>
    <w:unhideWhenUsed/>
    <w:uiPriority w:val="0"/>
    <w:pPr>
      <w:ind w:left="420" w:leftChars="200"/>
    </w:pPr>
    <w:rPr>
      <w:rFonts w:ascii="Times New Roman" w:hAnsi="Times New Roman"/>
      <w:szCs w:val="24"/>
    </w:rPr>
  </w:style>
  <w:style w:type="table" w:styleId="16">
    <w:name w:val="Table Grid"/>
    <w:basedOn w:val="15"/>
    <w:qFormat/>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unhideWhenUsed/>
    <w:uiPriority w:val="99"/>
  </w:style>
  <w:style w:type="character" w:styleId="19">
    <w:name w:val="Hyperlink"/>
    <w:unhideWhenUsed/>
    <w:uiPriority w:val="99"/>
    <w:rPr>
      <w:color w:val="0000FF"/>
      <w:u w:val="single"/>
    </w:rPr>
  </w:style>
  <w:style w:type="character" w:customStyle="1" w:styleId="20">
    <w:name w:val="标题 1 Char"/>
    <w:link w:val="2"/>
    <w:uiPriority w:val="9"/>
    <w:rPr>
      <w:rFonts w:ascii="Times New Roman" w:hAnsi="Times New Roman" w:eastAsia="仿宋"/>
      <w:b/>
      <w:bCs/>
      <w:kern w:val="44"/>
      <w:sz w:val="28"/>
      <w:szCs w:val="44"/>
    </w:rPr>
  </w:style>
  <w:style w:type="character" w:customStyle="1" w:styleId="21">
    <w:name w:val="标题 5 Char"/>
    <w:link w:val="5"/>
    <w:uiPriority w:val="0"/>
    <w:rPr>
      <w:b/>
      <w:bCs/>
      <w:sz w:val="28"/>
      <w:szCs w:val="28"/>
    </w:rPr>
  </w:style>
  <w:style w:type="character" w:customStyle="1" w:styleId="22">
    <w:name w:val="正文文本缩进 Char"/>
    <w:link w:val="6"/>
    <w:qFormat/>
    <w:uiPriority w:val="0"/>
    <w:rPr>
      <w:kern w:val="2"/>
      <w:sz w:val="24"/>
    </w:rPr>
  </w:style>
  <w:style w:type="character" w:customStyle="1" w:styleId="23">
    <w:name w:val="日期 Char"/>
    <w:link w:val="8"/>
    <w:uiPriority w:val="0"/>
    <w:rPr>
      <w:kern w:val="2"/>
      <w:sz w:val="28"/>
    </w:rPr>
  </w:style>
  <w:style w:type="character" w:customStyle="1" w:styleId="24">
    <w:name w:val="批注框文本 Char"/>
    <w:link w:val="10"/>
    <w:semiHidden/>
    <w:uiPriority w:val="99"/>
    <w:rPr>
      <w:sz w:val="18"/>
      <w:szCs w:val="18"/>
    </w:rPr>
  </w:style>
  <w:style w:type="character" w:customStyle="1" w:styleId="25">
    <w:name w:val="页脚 Char"/>
    <w:link w:val="11"/>
    <w:uiPriority w:val="99"/>
    <w:rPr>
      <w:sz w:val="18"/>
      <w:szCs w:val="18"/>
    </w:rPr>
  </w:style>
  <w:style w:type="character" w:customStyle="1" w:styleId="26">
    <w:name w:val="页眉 Char"/>
    <w:link w:val="12"/>
    <w:uiPriority w:val="99"/>
    <w:rPr>
      <w:sz w:val="18"/>
      <w:szCs w:val="18"/>
    </w:rPr>
  </w:style>
  <w:style w:type="paragraph" w:customStyle="1" w:styleId="27">
    <w:name w:val="List Paragraph"/>
    <w:basedOn w:val="1"/>
    <w:uiPriority w:val="0"/>
    <w:pPr>
      <w:ind w:firstLine="420" w:firstLineChars="200"/>
    </w:pPr>
  </w:style>
  <w:style w:type="paragraph" w:customStyle="1" w:styleId="28">
    <w:name w:val=" Char Char Char Char Char Char Char Char Char Char Char Char Char Char Char Char"/>
    <w:basedOn w:val="1"/>
    <w:uiPriority w:val="0"/>
    <w:pPr>
      <w:tabs>
        <w:tab w:val="left" w:pos="360"/>
      </w:tabs>
      <w:spacing w:line="360" w:lineRule="auto"/>
      <w:ind w:left="482" w:firstLine="200" w:firstLineChars="200"/>
    </w:pPr>
    <w:rPr>
      <w:rFonts w:ascii="宋体" w:hAnsi="Times New Roman"/>
      <w:sz w:val="24"/>
      <w:szCs w:val="24"/>
    </w:rPr>
  </w:style>
  <w:style w:type="paragraph" w:customStyle="1" w:styleId="29">
    <w:name w:val="列出段落1"/>
    <w:basedOn w:val="1"/>
    <w:qFormat/>
    <w:uiPriority w:val="0"/>
    <w:pPr>
      <w:ind w:firstLine="420" w:firstLineChars="200"/>
    </w:pPr>
    <w:rPr>
      <w:rFonts w:ascii="Wingdings" w:hAnsi="Wingdings" w:cs="Wingdings"/>
      <w:szCs w:val="24"/>
    </w:rPr>
  </w:style>
  <w:style w:type="paragraph" w:styleId="3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368;&#26032;&#25991;&#26723;\&#20013;&#36710;word&#25991;&#26723;\&#31446;&#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竖式.dot</Template>
  <Pages>19</Pages>
  <Words>6737</Words>
  <Characters>7464</Characters>
  <Lines>64</Lines>
  <Paragraphs>18</Paragraphs>
  <TotalTime>3</TotalTime>
  <ScaleCrop>false</ScaleCrop>
  <LinksUpToDate>false</LinksUpToDate>
  <CharactersWithSpaces>8214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2022-09-13T02:28:00Z</dcterms:created>
  <dc:creator>Administrator</dc:creator>
  <cp:lastModifiedBy>FaintK</cp:lastModifiedBy>
  <cp:lastPrinted>2022-09-13T07:29:00Z</cp:lastPrinted>
  <dcterms:modified xsi:type="dcterms:W3CDTF">2023-03-22T01:20:19Z</dcterms:modified>
  <dc:title>焊机采购技术协议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323232476C9D4E05AA6C1FEEDA6A1AE9</vt:lpwstr>
  </property>
</Properties>
</file>